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C81" w:rsidRPr="003721BA" w:rsidRDefault="00324C81" w:rsidP="00324C81">
      <w:pPr>
        <w:autoSpaceDE w:val="0"/>
        <w:autoSpaceDN w:val="0"/>
        <w:adjustRightInd w:val="0"/>
        <w:spacing w:after="0" w:line="240" w:lineRule="auto"/>
        <w:jc w:val="center"/>
        <w:rPr>
          <w:rFonts w:ascii="Times New Roman" w:hAnsi="Times New Roman"/>
          <w:b/>
          <w:sz w:val="24"/>
          <w:szCs w:val="24"/>
        </w:rPr>
      </w:pPr>
      <w:r w:rsidRPr="003721BA">
        <w:rPr>
          <w:rFonts w:ascii="Times New Roman" w:hAnsi="Times New Roman"/>
          <w:b/>
          <w:sz w:val="24"/>
          <w:szCs w:val="24"/>
        </w:rPr>
        <w:t>Tabela 1. Wybrane interpretacje pojęciowe inwestycji podejmowanych przez gminy</w:t>
      </w:r>
    </w:p>
    <w:p w:rsidR="00324C81" w:rsidRPr="003721BA" w:rsidRDefault="00324C81" w:rsidP="00324C81">
      <w:pPr>
        <w:autoSpaceDE w:val="0"/>
        <w:autoSpaceDN w:val="0"/>
        <w:adjustRightInd w:val="0"/>
        <w:spacing w:after="0" w:line="240" w:lineRule="auto"/>
        <w:ind w:firstLine="708"/>
        <w:jc w:val="both"/>
        <w:rPr>
          <w:rFonts w:ascii="Times New Roman" w:hAnsi="Times New Roman"/>
          <w:sz w:val="10"/>
          <w:szCs w:val="10"/>
        </w:rPr>
      </w:pPr>
    </w:p>
    <w:p w:rsidR="00324C81" w:rsidRPr="003721BA" w:rsidRDefault="00324C81" w:rsidP="00324C81">
      <w:pPr>
        <w:autoSpaceDE w:val="0"/>
        <w:autoSpaceDN w:val="0"/>
        <w:adjustRightInd w:val="0"/>
        <w:spacing w:after="0" w:line="240" w:lineRule="auto"/>
        <w:rPr>
          <w:rFonts w:ascii="Times New Roman" w:hAnsi="Times New Roman"/>
          <w:sz w:val="10"/>
          <w:szCs w:val="10"/>
        </w:rPr>
      </w:pPr>
    </w:p>
    <w:tbl>
      <w:tblPr>
        <w:tblpPr w:leftFromText="141" w:rightFromText="141" w:vertAnchor="text" w:horzAnchor="margin" w:tblpX="114" w:tblpY="-55"/>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53"/>
        <w:gridCol w:w="1610"/>
        <w:gridCol w:w="5868"/>
      </w:tblGrid>
      <w:tr w:rsidR="00324C81" w:rsidRPr="003721BA" w:rsidTr="00773DE9">
        <w:trPr>
          <w:trHeight w:val="436"/>
        </w:trPr>
        <w:tc>
          <w:tcPr>
            <w:tcW w:w="1253" w:type="dxa"/>
            <w:tcBorders>
              <w:bottom w:val="single" w:sz="4" w:space="0" w:color="auto"/>
            </w:tcBorders>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rPr>
            </w:pPr>
            <w:r w:rsidRPr="003721BA">
              <w:rPr>
                <w:rFonts w:ascii="Times New Roman" w:hAnsi="Times New Roman"/>
                <w:b/>
              </w:rPr>
              <w:t>Autor</w:t>
            </w:r>
          </w:p>
        </w:tc>
        <w:tc>
          <w:tcPr>
            <w:tcW w:w="1610" w:type="dxa"/>
            <w:tcBorders>
              <w:bottom w:val="single" w:sz="4" w:space="0" w:color="auto"/>
            </w:tcBorders>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rPr>
            </w:pPr>
            <w:r w:rsidRPr="003721BA">
              <w:rPr>
                <w:rFonts w:ascii="Times New Roman" w:hAnsi="Times New Roman"/>
                <w:b/>
              </w:rPr>
              <w:t>Określenie</w:t>
            </w:r>
          </w:p>
        </w:tc>
        <w:tc>
          <w:tcPr>
            <w:tcW w:w="5868"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rPr>
            </w:pPr>
            <w:r w:rsidRPr="003721BA">
              <w:rPr>
                <w:rFonts w:ascii="Times New Roman" w:hAnsi="Times New Roman"/>
                <w:b/>
              </w:rPr>
              <w:t>Definicja</w:t>
            </w:r>
          </w:p>
        </w:tc>
      </w:tr>
      <w:tr w:rsidR="00324C81" w:rsidRPr="003721BA" w:rsidTr="00773DE9">
        <w:tc>
          <w:tcPr>
            <w:tcW w:w="1253" w:type="dxa"/>
            <w:shd w:val="clear" w:color="auto" w:fill="auto"/>
            <w:vAlign w:val="center"/>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M. Zioło</w:t>
            </w:r>
          </w:p>
        </w:tc>
        <w:tc>
          <w:tcPr>
            <w:tcW w:w="1610" w:type="dxa"/>
            <w:shd w:val="clear" w:color="auto" w:fill="auto"/>
            <w:vAlign w:val="center"/>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inwestycje jednostek samorządu terytorialnego</w:t>
            </w:r>
          </w:p>
        </w:tc>
        <w:tc>
          <w:tcPr>
            <w:tcW w:w="5868" w:type="dxa"/>
            <w:shd w:val="clear" w:color="auto" w:fill="auto"/>
            <w:vAlign w:val="center"/>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inwestycje o charakterze infrastrukturalnym, technicznym, integrowane z zadaniami własnymi jednostek samorządu terytorialnego, wspierające ich realizację, kreujące wartość dodaną na poziomie jednostki terytorialnej i zwiększające jej konkurencyjność poprzez podnoszenie zdolności jednostek samorządu terytorialnego do wzrostu i rozwoju</w:t>
            </w:r>
          </w:p>
        </w:tc>
      </w:tr>
      <w:tr w:rsidR="00324C81" w:rsidRPr="003721BA" w:rsidTr="00773DE9">
        <w:tc>
          <w:tcPr>
            <w:tcW w:w="1253" w:type="dxa"/>
            <w:shd w:val="clear" w:color="auto" w:fill="auto"/>
            <w:vAlign w:val="center"/>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 xml:space="preserve">J. </w:t>
            </w:r>
            <w:proofErr w:type="spellStart"/>
            <w:r w:rsidRPr="003721BA">
              <w:rPr>
                <w:rFonts w:ascii="Times New Roman" w:hAnsi="Times New Roman"/>
              </w:rPr>
              <w:t>Czempas</w:t>
            </w:r>
            <w:proofErr w:type="spellEnd"/>
          </w:p>
        </w:tc>
        <w:tc>
          <w:tcPr>
            <w:tcW w:w="1610" w:type="dxa"/>
            <w:shd w:val="clear" w:color="auto" w:fill="auto"/>
            <w:vAlign w:val="center"/>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inwestycje samorządu terytorialnego</w:t>
            </w:r>
          </w:p>
        </w:tc>
        <w:tc>
          <w:tcPr>
            <w:tcW w:w="5868" w:type="dxa"/>
            <w:vAlign w:val="center"/>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przez inwestycje samorządu terytorialnego należy rozumieć obarczone ryzykiem celowe wydatkowanie kapitału, skierowane na powiększenie korzyści materialnych i niematerialnych wspólnoty samorządowej oraz na powiększenie możliwości wzrostu jakości oraz zakresu dostarczanych dóbr i usług</w:t>
            </w:r>
          </w:p>
        </w:tc>
      </w:tr>
      <w:tr w:rsidR="00324C81" w:rsidRPr="003721BA" w:rsidTr="00773DE9">
        <w:tc>
          <w:tcPr>
            <w:tcW w:w="1253" w:type="dxa"/>
            <w:shd w:val="clear" w:color="auto" w:fill="auto"/>
            <w:vAlign w:val="center"/>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 xml:space="preserve">H. Kurek, </w:t>
            </w:r>
          </w:p>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H. Zielińska</w:t>
            </w:r>
          </w:p>
        </w:tc>
        <w:tc>
          <w:tcPr>
            <w:tcW w:w="1610" w:type="dxa"/>
            <w:shd w:val="clear" w:color="auto" w:fill="auto"/>
            <w:vAlign w:val="center"/>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inwestycje komunalne</w:t>
            </w:r>
          </w:p>
        </w:tc>
        <w:tc>
          <w:tcPr>
            <w:tcW w:w="5868" w:type="dxa"/>
            <w:vAlign w:val="center"/>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wszystkie inwestycje prowadzone przez przedsiębiorstwa komunalne, jednostki samorządu terytorialnego lub ich jednostki pomocnicze</w:t>
            </w:r>
          </w:p>
        </w:tc>
      </w:tr>
      <w:tr w:rsidR="00324C81" w:rsidRPr="003721BA" w:rsidTr="00773DE9">
        <w:tc>
          <w:tcPr>
            <w:tcW w:w="1253" w:type="dxa"/>
            <w:shd w:val="clear" w:color="auto" w:fill="auto"/>
            <w:vAlign w:val="center"/>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M. Graczyk</w:t>
            </w:r>
          </w:p>
        </w:tc>
        <w:tc>
          <w:tcPr>
            <w:tcW w:w="1610" w:type="dxa"/>
            <w:shd w:val="clear" w:color="auto" w:fill="auto"/>
            <w:vAlign w:val="center"/>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inwestycje komunalne</w:t>
            </w:r>
          </w:p>
        </w:tc>
        <w:tc>
          <w:tcPr>
            <w:tcW w:w="5868" w:type="dxa"/>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lang w:eastAsia="pl-PL"/>
              </w:rPr>
              <w:t>techniczne instrumenty stymulowania rozwoju zrównoważonego (ładu zintegrowanego), albowiem ich realizacja wpływa na ogólną poprawę stanu środowiska (ład ekologiczny) i jakości życia mieszkańców (ład społeczny), a jednocześnie rzutuje w istotny sposób na rozwój gospodarczy gminy (ład ekonomiczny)</w:t>
            </w:r>
          </w:p>
        </w:tc>
      </w:tr>
      <w:tr w:rsidR="00324C81" w:rsidRPr="003721BA" w:rsidTr="00773DE9">
        <w:tc>
          <w:tcPr>
            <w:tcW w:w="1253" w:type="dxa"/>
            <w:shd w:val="clear" w:color="auto" w:fill="auto"/>
            <w:vAlign w:val="center"/>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Cz. Rudzka-Lorentz, J. </w:t>
            </w:r>
            <w:proofErr w:type="spellStart"/>
            <w:r w:rsidRPr="003721BA">
              <w:rPr>
                <w:rFonts w:ascii="Times New Roman" w:hAnsi="Times New Roman"/>
              </w:rPr>
              <w:t>Sierak</w:t>
            </w:r>
            <w:proofErr w:type="spellEnd"/>
          </w:p>
        </w:tc>
        <w:tc>
          <w:tcPr>
            <w:tcW w:w="1610" w:type="dxa"/>
            <w:shd w:val="clear" w:color="auto" w:fill="auto"/>
            <w:vAlign w:val="center"/>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inwestycje gmin</w:t>
            </w:r>
          </w:p>
        </w:tc>
        <w:tc>
          <w:tcPr>
            <w:tcW w:w="5868" w:type="dxa"/>
          </w:tcPr>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wydatki na zakup lub wytworzenie materialnych składników majątkowych związanych z realizacją ustawowych zadań mianem inwestycji gmin; obejmują one działania z zakresu użyteczności publicznej i mają charakter niedochodowy.</w:t>
            </w:r>
          </w:p>
        </w:tc>
      </w:tr>
    </w:tbl>
    <w:p w:rsidR="00324C81" w:rsidRPr="003721BA" w:rsidRDefault="00324C81" w:rsidP="00324C81">
      <w:pPr>
        <w:autoSpaceDE w:val="0"/>
        <w:autoSpaceDN w:val="0"/>
        <w:adjustRightInd w:val="0"/>
        <w:spacing w:after="0" w:line="240" w:lineRule="auto"/>
        <w:rPr>
          <w:rFonts w:ascii="Times New Roman" w:hAnsi="Times New Roman"/>
          <w:sz w:val="20"/>
          <w:szCs w:val="20"/>
          <w:lang w:eastAsia="pl-PL"/>
        </w:rPr>
      </w:pPr>
      <w:r w:rsidRPr="003721BA">
        <w:rPr>
          <w:rFonts w:ascii="Times New Roman" w:hAnsi="Times New Roman"/>
          <w:sz w:val="20"/>
          <w:szCs w:val="20"/>
        </w:rPr>
        <w:t xml:space="preserve">Źródło: opracowanie własne na podstawie </w:t>
      </w:r>
      <w:r>
        <w:rPr>
          <w:rFonts w:ascii="Times New Roman" w:hAnsi="Times New Roman"/>
          <w:sz w:val="20"/>
          <w:szCs w:val="20"/>
        </w:rPr>
        <w:t>[</w:t>
      </w:r>
      <w:r w:rsidRPr="003721BA">
        <w:rPr>
          <w:rFonts w:ascii="Times New Roman" w:hAnsi="Times New Roman"/>
          <w:i/>
          <w:sz w:val="20"/>
          <w:szCs w:val="20"/>
        </w:rPr>
        <w:t>Nowe zarządzanie publiczne</w:t>
      </w:r>
      <w:r>
        <w:rPr>
          <w:rFonts w:ascii="Times New Roman" w:hAnsi="Times New Roman"/>
          <w:i/>
          <w:sz w:val="20"/>
          <w:szCs w:val="20"/>
        </w:rPr>
        <w:t>…</w:t>
      </w:r>
      <w:r w:rsidRPr="003721BA">
        <w:rPr>
          <w:rFonts w:ascii="Times New Roman" w:hAnsi="Times New Roman"/>
          <w:sz w:val="20"/>
          <w:szCs w:val="20"/>
        </w:rPr>
        <w:t xml:space="preserve"> 2005, </w:t>
      </w:r>
      <w:r w:rsidRPr="003721BA">
        <w:rPr>
          <w:rFonts w:ascii="Times New Roman" w:hAnsi="Times New Roman"/>
          <w:i/>
          <w:sz w:val="20"/>
          <w:szCs w:val="20"/>
        </w:rPr>
        <w:t xml:space="preserve"> </w:t>
      </w:r>
      <w:r w:rsidRPr="003721BA">
        <w:rPr>
          <w:rFonts w:ascii="Times New Roman" w:hAnsi="Times New Roman"/>
          <w:sz w:val="20"/>
          <w:szCs w:val="20"/>
        </w:rPr>
        <w:t>s. 162-163</w:t>
      </w:r>
      <w:r>
        <w:rPr>
          <w:rFonts w:ascii="Times New Roman" w:hAnsi="Times New Roman"/>
          <w:sz w:val="20"/>
          <w:szCs w:val="20"/>
        </w:rPr>
        <w:t xml:space="preserve">; </w:t>
      </w:r>
      <w:r w:rsidRPr="003721BA">
        <w:rPr>
          <w:rFonts w:ascii="Times New Roman" w:hAnsi="Times New Roman"/>
          <w:sz w:val="20"/>
          <w:szCs w:val="20"/>
        </w:rPr>
        <w:t>Kurek</w:t>
      </w:r>
      <w:r>
        <w:rPr>
          <w:rFonts w:ascii="Times New Roman" w:hAnsi="Times New Roman"/>
          <w:sz w:val="20"/>
          <w:szCs w:val="20"/>
        </w:rPr>
        <w:t xml:space="preserve"> i </w:t>
      </w:r>
      <w:r w:rsidRPr="003721BA">
        <w:rPr>
          <w:rFonts w:ascii="Times New Roman" w:hAnsi="Times New Roman"/>
          <w:sz w:val="20"/>
          <w:szCs w:val="20"/>
        </w:rPr>
        <w:t>Zielińska</w:t>
      </w:r>
      <w:r>
        <w:rPr>
          <w:rFonts w:ascii="Times New Roman" w:hAnsi="Times New Roman"/>
          <w:sz w:val="20"/>
          <w:szCs w:val="20"/>
        </w:rPr>
        <w:t xml:space="preserve"> </w:t>
      </w:r>
      <w:r w:rsidRPr="003721BA">
        <w:rPr>
          <w:rFonts w:ascii="Times New Roman" w:hAnsi="Times New Roman"/>
          <w:sz w:val="20"/>
          <w:szCs w:val="20"/>
        </w:rPr>
        <w:t>2007, s. 140</w:t>
      </w:r>
      <w:r>
        <w:rPr>
          <w:rFonts w:ascii="Times New Roman" w:hAnsi="Times New Roman"/>
          <w:sz w:val="20"/>
          <w:szCs w:val="20"/>
        </w:rPr>
        <w:t xml:space="preserve">; </w:t>
      </w:r>
      <w:r w:rsidRPr="003721BA">
        <w:rPr>
          <w:rFonts w:ascii="Times New Roman" w:hAnsi="Times New Roman"/>
          <w:sz w:val="20"/>
          <w:szCs w:val="20"/>
        </w:rPr>
        <w:t>Graczyk</w:t>
      </w:r>
      <w:r>
        <w:rPr>
          <w:rFonts w:ascii="Times New Roman" w:hAnsi="Times New Roman"/>
          <w:sz w:val="20"/>
          <w:szCs w:val="20"/>
        </w:rPr>
        <w:t xml:space="preserve"> </w:t>
      </w:r>
      <w:r w:rsidRPr="003721BA">
        <w:rPr>
          <w:rFonts w:ascii="Times New Roman" w:hAnsi="Times New Roman"/>
          <w:sz w:val="20"/>
          <w:szCs w:val="20"/>
        </w:rPr>
        <w:t>2008, s. 48</w:t>
      </w:r>
      <w:r>
        <w:rPr>
          <w:rFonts w:ascii="Times New Roman" w:hAnsi="Times New Roman"/>
          <w:sz w:val="20"/>
          <w:szCs w:val="20"/>
        </w:rPr>
        <w:t xml:space="preserve">; </w:t>
      </w:r>
      <w:r w:rsidRPr="003721BA">
        <w:rPr>
          <w:rFonts w:ascii="Times New Roman" w:hAnsi="Times New Roman"/>
          <w:sz w:val="20"/>
          <w:szCs w:val="20"/>
        </w:rPr>
        <w:t>Zioło 2012, s. 17</w:t>
      </w:r>
      <w:r>
        <w:rPr>
          <w:rFonts w:ascii="Times New Roman" w:hAnsi="Times New Roman"/>
          <w:sz w:val="20"/>
          <w:szCs w:val="20"/>
        </w:rPr>
        <w:t xml:space="preserve">; </w:t>
      </w:r>
      <w:proofErr w:type="spellStart"/>
      <w:r w:rsidRPr="003721BA">
        <w:rPr>
          <w:rFonts w:ascii="Times New Roman" w:hAnsi="Times New Roman"/>
          <w:sz w:val="20"/>
          <w:szCs w:val="20"/>
        </w:rPr>
        <w:t>Czempas</w:t>
      </w:r>
      <w:proofErr w:type="spellEnd"/>
      <w:r>
        <w:rPr>
          <w:rFonts w:ascii="Times New Roman" w:hAnsi="Times New Roman"/>
          <w:sz w:val="20"/>
          <w:szCs w:val="20"/>
        </w:rPr>
        <w:t xml:space="preserve"> </w:t>
      </w:r>
      <w:r w:rsidRPr="003721BA">
        <w:rPr>
          <w:rFonts w:ascii="Times New Roman" w:hAnsi="Times New Roman"/>
          <w:sz w:val="20"/>
          <w:szCs w:val="20"/>
        </w:rPr>
        <w:t>2013, s. 26</w:t>
      </w:r>
      <w:r>
        <w:rPr>
          <w:rFonts w:ascii="Times New Roman" w:hAnsi="Times New Roman"/>
          <w:sz w:val="20"/>
          <w:szCs w:val="20"/>
        </w:rPr>
        <w:t>]</w:t>
      </w:r>
      <w:r w:rsidRPr="003721BA">
        <w:rPr>
          <w:rFonts w:ascii="Times New Roman" w:hAnsi="Times New Roman"/>
          <w:sz w:val="20"/>
          <w:szCs w:val="20"/>
        </w:rPr>
        <w:t>.</w:t>
      </w:r>
    </w:p>
    <w:p w:rsidR="00324C81" w:rsidRDefault="00324C81" w:rsidP="00324C81">
      <w:pPr>
        <w:autoSpaceDE w:val="0"/>
        <w:autoSpaceDN w:val="0"/>
        <w:adjustRightInd w:val="0"/>
        <w:spacing w:after="0" w:line="240" w:lineRule="auto"/>
        <w:rPr>
          <w:rFonts w:ascii="Times New Roman" w:hAnsi="Times New Roman"/>
          <w:b/>
          <w:sz w:val="24"/>
          <w:szCs w:val="24"/>
          <w:lang w:eastAsia="pl-PL"/>
        </w:rPr>
      </w:pPr>
    </w:p>
    <w:p w:rsidR="00324C81" w:rsidRPr="003721BA" w:rsidRDefault="00324C81" w:rsidP="00324C81">
      <w:pPr>
        <w:autoSpaceDE w:val="0"/>
        <w:autoSpaceDN w:val="0"/>
        <w:adjustRightInd w:val="0"/>
        <w:spacing w:after="0" w:line="240" w:lineRule="auto"/>
        <w:ind w:firstLine="708"/>
        <w:jc w:val="center"/>
        <w:rPr>
          <w:rFonts w:ascii="Times New Roman" w:hAnsi="Times New Roman"/>
          <w:b/>
          <w:sz w:val="24"/>
          <w:szCs w:val="24"/>
          <w:lang w:eastAsia="pl-PL"/>
        </w:rPr>
      </w:pPr>
      <w:r w:rsidRPr="003721BA">
        <w:rPr>
          <w:rFonts w:ascii="Times New Roman" w:hAnsi="Times New Roman"/>
          <w:b/>
          <w:sz w:val="24"/>
          <w:szCs w:val="24"/>
          <w:lang w:eastAsia="pl-PL"/>
        </w:rPr>
        <w:t>Tabela 2. Determinanty wyboru zwrotnych źródeł finansowania</w:t>
      </w:r>
    </w:p>
    <w:p w:rsidR="00324C81" w:rsidRPr="003721BA" w:rsidRDefault="00324C81" w:rsidP="00324C81">
      <w:pPr>
        <w:autoSpaceDE w:val="0"/>
        <w:autoSpaceDN w:val="0"/>
        <w:adjustRightInd w:val="0"/>
        <w:spacing w:after="0" w:line="240" w:lineRule="auto"/>
        <w:ind w:firstLine="708"/>
        <w:jc w:val="both"/>
        <w:rPr>
          <w:rFonts w:ascii="Times New Roman" w:hAnsi="Times New Roman"/>
          <w:sz w:val="10"/>
          <w:szCs w:val="10"/>
          <w:lang w:eastAsia="pl-PL"/>
        </w:rPr>
      </w:pPr>
    </w:p>
    <w:tbl>
      <w:tblPr>
        <w:tblStyle w:val="Tabela-Siatka"/>
        <w:tblW w:w="0" w:type="auto"/>
        <w:jc w:val="center"/>
        <w:tblCellMar>
          <w:top w:w="28" w:type="dxa"/>
          <w:left w:w="57" w:type="dxa"/>
          <w:bottom w:w="28" w:type="dxa"/>
          <w:right w:w="57" w:type="dxa"/>
        </w:tblCellMar>
        <w:tblLook w:val="04A0"/>
      </w:tblPr>
      <w:tblGrid>
        <w:gridCol w:w="1898"/>
        <w:gridCol w:w="6715"/>
      </w:tblGrid>
      <w:tr w:rsidR="00324C81" w:rsidRPr="003721BA" w:rsidTr="00773DE9">
        <w:trPr>
          <w:trHeight w:val="428"/>
          <w:jc w:val="center"/>
        </w:trPr>
        <w:tc>
          <w:tcPr>
            <w:tcW w:w="1898" w:type="dxa"/>
            <w:shd w:val="clear" w:color="auto" w:fill="auto"/>
            <w:vAlign w:val="center"/>
          </w:tcPr>
          <w:p w:rsidR="00324C81" w:rsidRPr="003721BA" w:rsidRDefault="00324C81" w:rsidP="00773DE9">
            <w:pPr>
              <w:spacing w:after="0" w:line="240" w:lineRule="auto"/>
              <w:jc w:val="center"/>
              <w:rPr>
                <w:rFonts w:ascii="Times New Roman" w:hAnsi="Times New Roman"/>
                <w:b/>
              </w:rPr>
            </w:pPr>
            <w:r w:rsidRPr="003721BA">
              <w:rPr>
                <w:rFonts w:ascii="Times New Roman" w:hAnsi="Times New Roman"/>
                <w:b/>
              </w:rPr>
              <w:t>Grupa czynników</w:t>
            </w:r>
          </w:p>
        </w:tc>
        <w:tc>
          <w:tcPr>
            <w:tcW w:w="6715" w:type="dxa"/>
            <w:shd w:val="clear" w:color="auto" w:fill="auto"/>
            <w:vAlign w:val="center"/>
          </w:tcPr>
          <w:p w:rsidR="00324C81" w:rsidRPr="003721BA" w:rsidRDefault="00324C81" w:rsidP="00773DE9">
            <w:pPr>
              <w:spacing w:after="0" w:line="240" w:lineRule="auto"/>
              <w:jc w:val="center"/>
              <w:rPr>
                <w:rFonts w:ascii="Times New Roman" w:hAnsi="Times New Roman"/>
                <w:b/>
              </w:rPr>
            </w:pPr>
            <w:r w:rsidRPr="003721BA">
              <w:rPr>
                <w:rFonts w:ascii="Times New Roman" w:hAnsi="Times New Roman"/>
                <w:b/>
              </w:rPr>
              <w:t>Determinanty</w:t>
            </w:r>
          </w:p>
        </w:tc>
      </w:tr>
      <w:tr w:rsidR="00324C81" w:rsidRPr="003721BA" w:rsidTr="00773DE9">
        <w:trPr>
          <w:jc w:val="center"/>
        </w:trPr>
        <w:tc>
          <w:tcPr>
            <w:tcW w:w="1898" w:type="dxa"/>
            <w:shd w:val="clear" w:color="auto" w:fill="auto"/>
            <w:vAlign w:val="center"/>
          </w:tcPr>
          <w:p w:rsidR="00324C81" w:rsidRPr="003721BA" w:rsidRDefault="00324C81" w:rsidP="00773DE9">
            <w:pPr>
              <w:spacing w:after="0" w:line="240" w:lineRule="auto"/>
              <w:rPr>
                <w:rFonts w:ascii="Times New Roman" w:hAnsi="Times New Roman"/>
              </w:rPr>
            </w:pPr>
            <w:r w:rsidRPr="003721BA">
              <w:rPr>
                <w:rFonts w:ascii="Times New Roman" w:hAnsi="Times New Roman"/>
              </w:rPr>
              <w:t>zewnętrzne</w:t>
            </w:r>
          </w:p>
        </w:tc>
        <w:tc>
          <w:tcPr>
            <w:tcW w:w="6715" w:type="dxa"/>
            <w:shd w:val="clear" w:color="auto" w:fill="auto"/>
          </w:tcPr>
          <w:p w:rsidR="00324C81" w:rsidRPr="003721BA" w:rsidRDefault="00324C81" w:rsidP="00773DE9">
            <w:pPr>
              <w:spacing w:after="0" w:line="240" w:lineRule="auto"/>
              <w:rPr>
                <w:rFonts w:ascii="Times New Roman" w:hAnsi="Times New Roman"/>
              </w:rPr>
            </w:pPr>
            <w:r w:rsidRPr="003721BA">
              <w:rPr>
                <w:rFonts w:ascii="Times New Roman" w:hAnsi="Times New Roman"/>
              </w:rPr>
              <w:t>- obowiązujące przepisy prawa</w:t>
            </w:r>
          </w:p>
          <w:p w:rsidR="00324C81" w:rsidRPr="003721BA" w:rsidRDefault="00324C81" w:rsidP="00773DE9">
            <w:pPr>
              <w:spacing w:after="0" w:line="240" w:lineRule="auto"/>
              <w:rPr>
                <w:rFonts w:ascii="Times New Roman" w:hAnsi="Times New Roman"/>
              </w:rPr>
            </w:pPr>
            <w:r w:rsidRPr="003721BA">
              <w:rPr>
                <w:rFonts w:ascii="Times New Roman" w:hAnsi="Times New Roman"/>
              </w:rPr>
              <w:t>- sytuacja społeczno-gospodarcza</w:t>
            </w:r>
          </w:p>
          <w:p w:rsidR="00324C81" w:rsidRPr="003721BA" w:rsidRDefault="00324C81" w:rsidP="00773DE9">
            <w:pPr>
              <w:spacing w:after="0" w:line="240" w:lineRule="auto"/>
              <w:rPr>
                <w:rFonts w:ascii="Times New Roman" w:hAnsi="Times New Roman"/>
              </w:rPr>
            </w:pPr>
            <w:r w:rsidRPr="003721BA">
              <w:rPr>
                <w:rFonts w:ascii="Times New Roman" w:hAnsi="Times New Roman"/>
              </w:rPr>
              <w:t>- sytuacja na rynkach finansowych</w:t>
            </w:r>
          </w:p>
          <w:p w:rsidR="00324C81" w:rsidRPr="003721BA" w:rsidRDefault="00324C81" w:rsidP="00773DE9">
            <w:pPr>
              <w:spacing w:after="0" w:line="240" w:lineRule="auto"/>
              <w:rPr>
                <w:rFonts w:ascii="Times New Roman" w:hAnsi="Times New Roman"/>
              </w:rPr>
            </w:pPr>
            <w:r w:rsidRPr="003721BA">
              <w:rPr>
                <w:rFonts w:ascii="Times New Roman" w:hAnsi="Times New Roman"/>
              </w:rPr>
              <w:t>- czynniki związane z ryzykiem zewnętrznym (np. polityczne, prawne)</w:t>
            </w:r>
          </w:p>
        </w:tc>
      </w:tr>
      <w:tr w:rsidR="00324C81" w:rsidRPr="003721BA" w:rsidTr="00773DE9">
        <w:trPr>
          <w:jc w:val="center"/>
        </w:trPr>
        <w:tc>
          <w:tcPr>
            <w:tcW w:w="1898" w:type="dxa"/>
            <w:vAlign w:val="center"/>
          </w:tcPr>
          <w:p w:rsidR="00324C81" w:rsidRPr="003721BA" w:rsidRDefault="00324C81" w:rsidP="00773DE9">
            <w:pPr>
              <w:spacing w:after="0" w:line="240" w:lineRule="auto"/>
              <w:rPr>
                <w:rFonts w:ascii="Times New Roman" w:hAnsi="Times New Roman"/>
              </w:rPr>
            </w:pPr>
            <w:r w:rsidRPr="003721BA">
              <w:rPr>
                <w:rFonts w:ascii="Times New Roman" w:hAnsi="Times New Roman"/>
              </w:rPr>
              <w:t>wewnętrzne</w:t>
            </w:r>
          </w:p>
        </w:tc>
        <w:tc>
          <w:tcPr>
            <w:tcW w:w="6715" w:type="dxa"/>
          </w:tcPr>
          <w:p w:rsidR="00324C81" w:rsidRPr="003721BA" w:rsidRDefault="00324C81" w:rsidP="00773DE9">
            <w:pPr>
              <w:spacing w:after="0" w:line="240" w:lineRule="auto"/>
              <w:rPr>
                <w:rFonts w:ascii="Times New Roman" w:hAnsi="Times New Roman"/>
              </w:rPr>
            </w:pPr>
            <w:r w:rsidRPr="003721BA">
              <w:rPr>
                <w:rFonts w:ascii="Times New Roman" w:hAnsi="Times New Roman"/>
              </w:rPr>
              <w:t xml:space="preserve">- sytuacja finansowa gminy (np. poziom dochodów) </w:t>
            </w:r>
          </w:p>
          <w:p w:rsidR="00324C81" w:rsidRPr="003721BA" w:rsidRDefault="00324C81" w:rsidP="00773DE9">
            <w:pPr>
              <w:spacing w:after="0" w:line="240" w:lineRule="auto"/>
              <w:rPr>
                <w:rFonts w:ascii="Times New Roman" w:hAnsi="Times New Roman"/>
              </w:rPr>
            </w:pPr>
            <w:r w:rsidRPr="003721BA">
              <w:rPr>
                <w:rFonts w:ascii="Times New Roman" w:hAnsi="Times New Roman"/>
              </w:rPr>
              <w:t>- budżet bieżący gminy</w:t>
            </w:r>
          </w:p>
          <w:p w:rsidR="00324C81" w:rsidRPr="003721BA" w:rsidRDefault="00324C81" w:rsidP="00773DE9">
            <w:pPr>
              <w:spacing w:after="0" w:line="240" w:lineRule="auto"/>
              <w:rPr>
                <w:rFonts w:ascii="Times New Roman" w:hAnsi="Times New Roman"/>
              </w:rPr>
            </w:pPr>
            <w:r w:rsidRPr="003721BA">
              <w:rPr>
                <w:rFonts w:ascii="Times New Roman" w:hAnsi="Times New Roman"/>
              </w:rPr>
              <w:t>- sytuacja inwestycyjna (w tym zdolność do podejmowania nowych inwestycji)</w:t>
            </w:r>
          </w:p>
          <w:p w:rsidR="00324C81" w:rsidRPr="003721BA" w:rsidRDefault="00324C81" w:rsidP="00773DE9">
            <w:pPr>
              <w:spacing w:after="0" w:line="240" w:lineRule="auto"/>
              <w:rPr>
                <w:rFonts w:ascii="Times New Roman" w:hAnsi="Times New Roman"/>
              </w:rPr>
            </w:pPr>
            <w:r w:rsidRPr="003721BA">
              <w:rPr>
                <w:rFonts w:ascii="Times New Roman" w:hAnsi="Times New Roman"/>
              </w:rPr>
              <w:t>- wykorzystanie środków europejskich</w:t>
            </w:r>
          </w:p>
          <w:p w:rsidR="00324C81" w:rsidRPr="003721BA" w:rsidRDefault="00324C81" w:rsidP="00773DE9">
            <w:pPr>
              <w:spacing w:after="0" w:line="240" w:lineRule="auto"/>
              <w:rPr>
                <w:rFonts w:ascii="Times New Roman" w:hAnsi="Times New Roman"/>
              </w:rPr>
            </w:pPr>
            <w:r w:rsidRPr="003721BA">
              <w:rPr>
                <w:rFonts w:ascii="Times New Roman" w:hAnsi="Times New Roman"/>
              </w:rPr>
              <w:t>- czynniki ryzyka wewnętrznego (np. finansowe, kadrowe)</w:t>
            </w:r>
          </w:p>
        </w:tc>
      </w:tr>
      <w:tr w:rsidR="00324C81" w:rsidRPr="003721BA" w:rsidTr="00773DE9">
        <w:trPr>
          <w:jc w:val="center"/>
        </w:trPr>
        <w:tc>
          <w:tcPr>
            <w:tcW w:w="1898" w:type="dxa"/>
            <w:vAlign w:val="center"/>
          </w:tcPr>
          <w:p w:rsidR="00324C81" w:rsidRPr="003721BA" w:rsidRDefault="00324C81" w:rsidP="00773DE9">
            <w:pPr>
              <w:spacing w:after="0" w:line="240" w:lineRule="auto"/>
              <w:rPr>
                <w:rFonts w:ascii="Times New Roman" w:hAnsi="Times New Roman"/>
              </w:rPr>
            </w:pPr>
            <w:r w:rsidRPr="003721BA">
              <w:rPr>
                <w:rFonts w:ascii="Times New Roman" w:hAnsi="Times New Roman"/>
              </w:rPr>
              <w:t>wynikające ze specyfiki danego instrumentu</w:t>
            </w:r>
          </w:p>
        </w:tc>
        <w:tc>
          <w:tcPr>
            <w:tcW w:w="6715" w:type="dxa"/>
          </w:tcPr>
          <w:p w:rsidR="00324C81" w:rsidRPr="003721BA" w:rsidRDefault="00324C81" w:rsidP="00773DE9">
            <w:pPr>
              <w:spacing w:after="0" w:line="240" w:lineRule="auto"/>
              <w:rPr>
                <w:rFonts w:ascii="Times New Roman" w:hAnsi="Times New Roman"/>
              </w:rPr>
            </w:pPr>
            <w:r w:rsidRPr="003721BA">
              <w:rPr>
                <w:rFonts w:ascii="Times New Roman" w:hAnsi="Times New Roman"/>
              </w:rPr>
              <w:t>- ryzyko transakcyjne i finansowe</w:t>
            </w:r>
          </w:p>
          <w:p w:rsidR="00324C81" w:rsidRPr="003721BA" w:rsidRDefault="00324C81" w:rsidP="00773DE9">
            <w:pPr>
              <w:spacing w:after="0" w:line="240" w:lineRule="auto"/>
              <w:rPr>
                <w:rFonts w:ascii="Times New Roman" w:hAnsi="Times New Roman"/>
              </w:rPr>
            </w:pPr>
            <w:r w:rsidRPr="003721BA">
              <w:rPr>
                <w:rFonts w:ascii="Times New Roman" w:hAnsi="Times New Roman"/>
              </w:rPr>
              <w:t>- koszty pozyskania źródła i koszty obsługi długu</w:t>
            </w:r>
          </w:p>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 czynniki miękkie (np. efekt promocyjny)</w:t>
            </w:r>
          </w:p>
          <w:p w:rsidR="00324C81" w:rsidRPr="003721BA" w:rsidRDefault="00324C81" w:rsidP="00773DE9">
            <w:pPr>
              <w:autoSpaceDE w:val="0"/>
              <w:autoSpaceDN w:val="0"/>
              <w:adjustRightInd w:val="0"/>
              <w:spacing w:after="0" w:line="240" w:lineRule="auto"/>
              <w:rPr>
                <w:rFonts w:ascii="Times New Roman" w:hAnsi="Times New Roman"/>
              </w:rPr>
            </w:pPr>
            <w:r w:rsidRPr="003721BA">
              <w:rPr>
                <w:rFonts w:ascii="Times New Roman" w:hAnsi="Times New Roman"/>
              </w:rPr>
              <w:t>-  czynniki związane z rynkami finansowymi, na których są emitowane lub dopuszczane do obrotu instrumenty dłużne (np. zasady i procedury obowiązujące na rynkach, rozwój pośrednictwa finansowego, dywersyfikację ryzyka działalności i model klienta preferowanego)</w:t>
            </w:r>
          </w:p>
        </w:tc>
      </w:tr>
    </w:tbl>
    <w:p w:rsidR="00324C81" w:rsidRPr="003721BA" w:rsidRDefault="00324C81" w:rsidP="00324C81">
      <w:pPr>
        <w:spacing w:after="0" w:line="240" w:lineRule="auto"/>
        <w:rPr>
          <w:rFonts w:ascii="Times New Roman" w:hAnsi="Times New Roman"/>
          <w:sz w:val="10"/>
          <w:szCs w:val="10"/>
        </w:rPr>
      </w:pPr>
    </w:p>
    <w:p w:rsidR="00324C81" w:rsidRDefault="00324C81" w:rsidP="00324C81">
      <w:pPr>
        <w:spacing w:after="0" w:line="240" w:lineRule="auto"/>
        <w:rPr>
          <w:rFonts w:ascii="Times New Roman" w:hAnsi="Times New Roman"/>
          <w:sz w:val="20"/>
          <w:szCs w:val="20"/>
        </w:rPr>
      </w:pPr>
      <w:r w:rsidRPr="003721BA">
        <w:rPr>
          <w:rFonts w:ascii="Times New Roman" w:hAnsi="Times New Roman"/>
          <w:sz w:val="20"/>
          <w:szCs w:val="20"/>
        </w:rPr>
        <w:t xml:space="preserve">Źródło: opracowanie własne na podstawie </w:t>
      </w:r>
      <w:r>
        <w:rPr>
          <w:rFonts w:ascii="Times New Roman" w:hAnsi="Times New Roman"/>
          <w:sz w:val="20"/>
          <w:szCs w:val="20"/>
        </w:rPr>
        <w:t>[</w:t>
      </w:r>
      <w:r w:rsidRPr="003721BA">
        <w:rPr>
          <w:rFonts w:ascii="Times New Roman" w:hAnsi="Times New Roman"/>
          <w:sz w:val="20"/>
          <w:szCs w:val="20"/>
        </w:rPr>
        <w:t>Filipiak 2014, s. 40-42</w:t>
      </w:r>
      <w:r>
        <w:rPr>
          <w:rFonts w:ascii="Times New Roman" w:hAnsi="Times New Roman"/>
          <w:sz w:val="20"/>
          <w:szCs w:val="20"/>
        </w:rPr>
        <w:t>]</w:t>
      </w:r>
      <w:r w:rsidRPr="003721BA">
        <w:rPr>
          <w:rFonts w:ascii="Times New Roman" w:hAnsi="Times New Roman"/>
          <w:sz w:val="20"/>
          <w:szCs w:val="20"/>
        </w:rPr>
        <w:t>.</w:t>
      </w:r>
    </w:p>
    <w:p w:rsidR="00324C81" w:rsidRPr="003721BA" w:rsidRDefault="00324C81" w:rsidP="00324C81">
      <w:pPr>
        <w:autoSpaceDE w:val="0"/>
        <w:autoSpaceDN w:val="0"/>
        <w:adjustRightInd w:val="0"/>
        <w:spacing w:after="0" w:line="240" w:lineRule="auto"/>
        <w:jc w:val="center"/>
        <w:rPr>
          <w:rFonts w:ascii="Times New Roman" w:hAnsi="Times New Roman"/>
          <w:b/>
          <w:sz w:val="24"/>
          <w:szCs w:val="24"/>
        </w:rPr>
      </w:pPr>
      <w:r w:rsidRPr="003721BA">
        <w:rPr>
          <w:rFonts w:ascii="Times New Roman" w:hAnsi="Times New Roman"/>
          <w:b/>
          <w:sz w:val="24"/>
          <w:szCs w:val="24"/>
        </w:rPr>
        <w:lastRenderedPageBreak/>
        <w:t>Tabela 3. Średnie arytmetyczne wskaźników w poszczególnych grupach</w:t>
      </w:r>
      <w:r>
        <w:rPr>
          <w:rFonts w:ascii="Times New Roman" w:hAnsi="Times New Roman"/>
          <w:b/>
          <w:sz w:val="24"/>
          <w:szCs w:val="24"/>
        </w:rPr>
        <w:t xml:space="preserve"> gmin</w:t>
      </w:r>
    </w:p>
    <w:p w:rsidR="00324C81" w:rsidRPr="003721BA" w:rsidRDefault="00324C81" w:rsidP="00324C81">
      <w:pPr>
        <w:autoSpaceDE w:val="0"/>
        <w:autoSpaceDN w:val="0"/>
        <w:adjustRightInd w:val="0"/>
        <w:spacing w:after="0" w:line="360" w:lineRule="auto"/>
        <w:rPr>
          <w:rFonts w:ascii="Times New Roman" w:hAnsi="Times New Roman"/>
          <w:b/>
          <w:sz w:val="10"/>
          <w:szCs w:val="10"/>
        </w:rPr>
      </w:pPr>
    </w:p>
    <w:tbl>
      <w:tblPr>
        <w:tblStyle w:val="Tabela-Siatka"/>
        <w:tblW w:w="0" w:type="auto"/>
        <w:tblInd w:w="108" w:type="dxa"/>
        <w:tblCellMar>
          <w:top w:w="28" w:type="dxa"/>
          <w:left w:w="57" w:type="dxa"/>
          <w:bottom w:w="28" w:type="dxa"/>
          <w:right w:w="57" w:type="dxa"/>
        </w:tblCellMar>
        <w:tblLook w:val="04A0"/>
      </w:tblPr>
      <w:tblGrid>
        <w:gridCol w:w="2042"/>
        <w:gridCol w:w="2156"/>
        <w:gridCol w:w="2156"/>
        <w:gridCol w:w="2156"/>
      </w:tblGrid>
      <w:tr w:rsidR="00324C81" w:rsidRPr="003721BA" w:rsidTr="00773DE9">
        <w:tc>
          <w:tcPr>
            <w:tcW w:w="2053" w:type="dxa"/>
            <w:vAlign w:val="center"/>
          </w:tcPr>
          <w:p w:rsidR="00324C81" w:rsidRPr="003721BA" w:rsidRDefault="00324C81" w:rsidP="00773DE9">
            <w:pPr>
              <w:autoSpaceDE w:val="0"/>
              <w:autoSpaceDN w:val="0"/>
              <w:adjustRightInd w:val="0"/>
              <w:spacing w:after="0" w:line="240" w:lineRule="auto"/>
              <w:jc w:val="center"/>
              <w:rPr>
                <w:rFonts w:ascii="Times New Roman" w:hAnsi="Times New Roman"/>
                <w:sz w:val="24"/>
                <w:szCs w:val="24"/>
              </w:rPr>
            </w:pPr>
            <w:r w:rsidRPr="003721BA">
              <w:rPr>
                <w:rFonts w:ascii="Times New Roman" w:hAnsi="Times New Roman"/>
                <w:b/>
                <w:sz w:val="24"/>
                <w:szCs w:val="24"/>
              </w:rPr>
              <w:t>Grupa gmin</w:t>
            </w:r>
          </w:p>
        </w:tc>
        <w:tc>
          <w:tcPr>
            <w:tcW w:w="2161" w:type="dxa"/>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 w:val="24"/>
                <w:szCs w:val="24"/>
              </w:rPr>
            </w:pPr>
            <w:r w:rsidRPr="003721BA">
              <w:rPr>
                <w:rFonts w:ascii="Times New Roman" w:hAnsi="Times New Roman"/>
                <w:b/>
                <w:sz w:val="24"/>
                <w:szCs w:val="24"/>
              </w:rPr>
              <w:t>Udział wydatków inwestycyjnych w wydatkach ogółem</w:t>
            </w:r>
          </w:p>
        </w:tc>
        <w:tc>
          <w:tcPr>
            <w:tcW w:w="2161" w:type="dxa"/>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 w:val="24"/>
                <w:szCs w:val="24"/>
              </w:rPr>
            </w:pPr>
            <w:r w:rsidRPr="003721BA">
              <w:rPr>
                <w:rFonts w:ascii="Times New Roman" w:hAnsi="Times New Roman"/>
                <w:b/>
                <w:sz w:val="24"/>
                <w:szCs w:val="24"/>
              </w:rPr>
              <w:t>Relacja wydatków inwestycyjnych do wolnych środków</w:t>
            </w:r>
          </w:p>
        </w:tc>
        <w:tc>
          <w:tcPr>
            <w:tcW w:w="2161" w:type="dxa"/>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 w:val="24"/>
                <w:szCs w:val="24"/>
              </w:rPr>
            </w:pPr>
            <w:r w:rsidRPr="003721BA">
              <w:rPr>
                <w:rFonts w:ascii="Times New Roman" w:hAnsi="Times New Roman"/>
                <w:b/>
                <w:sz w:val="24"/>
                <w:szCs w:val="24"/>
              </w:rPr>
              <w:t>Relacja przychodów zwrotnych do wydatków inwestycyjnych</w:t>
            </w:r>
          </w:p>
        </w:tc>
      </w:tr>
      <w:tr w:rsidR="00324C81" w:rsidRPr="003721BA" w:rsidTr="00773DE9">
        <w:tc>
          <w:tcPr>
            <w:tcW w:w="2053" w:type="dxa"/>
          </w:tcPr>
          <w:p w:rsidR="00324C81" w:rsidRPr="003721BA" w:rsidRDefault="00324C81" w:rsidP="00773DE9">
            <w:pPr>
              <w:autoSpaceDE w:val="0"/>
              <w:autoSpaceDN w:val="0"/>
              <w:adjustRightInd w:val="0"/>
              <w:spacing w:after="0" w:line="240" w:lineRule="auto"/>
              <w:jc w:val="center"/>
              <w:rPr>
                <w:rFonts w:ascii="Times New Roman" w:hAnsi="Times New Roman"/>
                <w:sz w:val="24"/>
                <w:szCs w:val="24"/>
              </w:rPr>
            </w:pPr>
            <w:r w:rsidRPr="003721BA">
              <w:rPr>
                <w:rFonts w:ascii="Times New Roman" w:hAnsi="Times New Roman"/>
                <w:sz w:val="24"/>
                <w:szCs w:val="24"/>
              </w:rPr>
              <w:t>Skupienie 1</w:t>
            </w:r>
          </w:p>
        </w:tc>
        <w:tc>
          <w:tcPr>
            <w:tcW w:w="2161" w:type="dxa"/>
          </w:tcPr>
          <w:p w:rsidR="00324C81" w:rsidRPr="003721BA" w:rsidRDefault="00324C81" w:rsidP="00773DE9">
            <w:pPr>
              <w:autoSpaceDE w:val="0"/>
              <w:autoSpaceDN w:val="0"/>
              <w:adjustRightInd w:val="0"/>
              <w:spacing w:after="0" w:line="240" w:lineRule="auto"/>
              <w:jc w:val="center"/>
              <w:rPr>
                <w:rFonts w:ascii="Times New Roman" w:hAnsi="Times New Roman"/>
                <w:sz w:val="24"/>
                <w:szCs w:val="24"/>
              </w:rPr>
            </w:pPr>
            <w:r w:rsidRPr="003721BA">
              <w:rPr>
                <w:rFonts w:ascii="Times New Roman" w:hAnsi="Times New Roman"/>
                <w:sz w:val="24"/>
                <w:szCs w:val="24"/>
              </w:rPr>
              <w:t>0,1782</w:t>
            </w:r>
          </w:p>
        </w:tc>
        <w:tc>
          <w:tcPr>
            <w:tcW w:w="2161" w:type="dxa"/>
          </w:tcPr>
          <w:p w:rsidR="00324C81" w:rsidRPr="003721BA" w:rsidRDefault="00324C81" w:rsidP="00773DE9">
            <w:pPr>
              <w:autoSpaceDE w:val="0"/>
              <w:autoSpaceDN w:val="0"/>
              <w:adjustRightInd w:val="0"/>
              <w:spacing w:after="0" w:line="240" w:lineRule="auto"/>
              <w:jc w:val="center"/>
              <w:rPr>
                <w:rFonts w:ascii="Times New Roman" w:hAnsi="Times New Roman"/>
                <w:sz w:val="24"/>
                <w:szCs w:val="24"/>
              </w:rPr>
            </w:pPr>
            <w:r w:rsidRPr="003721BA">
              <w:rPr>
                <w:rFonts w:ascii="Times New Roman" w:hAnsi="Times New Roman"/>
                <w:sz w:val="24"/>
                <w:szCs w:val="24"/>
              </w:rPr>
              <w:t>1,4321</w:t>
            </w:r>
          </w:p>
        </w:tc>
        <w:tc>
          <w:tcPr>
            <w:tcW w:w="2161" w:type="dxa"/>
          </w:tcPr>
          <w:p w:rsidR="00324C81" w:rsidRPr="003721BA" w:rsidRDefault="00324C81" w:rsidP="00773DE9">
            <w:pPr>
              <w:autoSpaceDE w:val="0"/>
              <w:autoSpaceDN w:val="0"/>
              <w:adjustRightInd w:val="0"/>
              <w:spacing w:after="0" w:line="240" w:lineRule="auto"/>
              <w:jc w:val="center"/>
              <w:rPr>
                <w:rFonts w:ascii="Times New Roman" w:hAnsi="Times New Roman"/>
                <w:sz w:val="24"/>
                <w:szCs w:val="24"/>
              </w:rPr>
            </w:pPr>
            <w:r w:rsidRPr="003721BA">
              <w:rPr>
                <w:rFonts w:ascii="Times New Roman" w:hAnsi="Times New Roman"/>
                <w:sz w:val="24"/>
                <w:szCs w:val="24"/>
              </w:rPr>
              <w:t>0,6243</w:t>
            </w:r>
          </w:p>
        </w:tc>
      </w:tr>
      <w:tr w:rsidR="00324C81" w:rsidRPr="003721BA" w:rsidTr="00773DE9">
        <w:tc>
          <w:tcPr>
            <w:tcW w:w="2053" w:type="dxa"/>
          </w:tcPr>
          <w:p w:rsidR="00324C81" w:rsidRPr="003721BA" w:rsidRDefault="00324C81" w:rsidP="00773DE9">
            <w:pPr>
              <w:autoSpaceDE w:val="0"/>
              <w:autoSpaceDN w:val="0"/>
              <w:adjustRightInd w:val="0"/>
              <w:spacing w:after="0" w:line="240" w:lineRule="auto"/>
              <w:jc w:val="center"/>
              <w:rPr>
                <w:rFonts w:ascii="Times New Roman" w:hAnsi="Times New Roman"/>
                <w:sz w:val="24"/>
                <w:szCs w:val="24"/>
              </w:rPr>
            </w:pPr>
            <w:r w:rsidRPr="003721BA">
              <w:rPr>
                <w:rFonts w:ascii="Times New Roman" w:hAnsi="Times New Roman"/>
                <w:sz w:val="24"/>
                <w:szCs w:val="24"/>
              </w:rPr>
              <w:t>Skupienie 2</w:t>
            </w:r>
          </w:p>
        </w:tc>
        <w:tc>
          <w:tcPr>
            <w:tcW w:w="2161" w:type="dxa"/>
          </w:tcPr>
          <w:p w:rsidR="00324C81" w:rsidRPr="003721BA" w:rsidRDefault="00324C81" w:rsidP="00773DE9">
            <w:pPr>
              <w:autoSpaceDE w:val="0"/>
              <w:autoSpaceDN w:val="0"/>
              <w:adjustRightInd w:val="0"/>
              <w:spacing w:after="0" w:line="240" w:lineRule="auto"/>
              <w:jc w:val="center"/>
              <w:rPr>
                <w:rFonts w:ascii="Times New Roman" w:hAnsi="Times New Roman"/>
                <w:sz w:val="24"/>
                <w:szCs w:val="24"/>
              </w:rPr>
            </w:pPr>
            <w:r w:rsidRPr="003721BA">
              <w:rPr>
                <w:rFonts w:ascii="Times New Roman" w:hAnsi="Times New Roman"/>
                <w:sz w:val="24"/>
                <w:szCs w:val="24"/>
              </w:rPr>
              <w:t>0,2614</w:t>
            </w:r>
          </w:p>
        </w:tc>
        <w:tc>
          <w:tcPr>
            <w:tcW w:w="2161" w:type="dxa"/>
          </w:tcPr>
          <w:p w:rsidR="00324C81" w:rsidRPr="003721BA" w:rsidRDefault="00324C81" w:rsidP="00773DE9">
            <w:pPr>
              <w:autoSpaceDE w:val="0"/>
              <w:autoSpaceDN w:val="0"/>
              <w:adjustRightInd w:val="0"/>
              <w:spacing w:after="0" w:line="240" w:lineRule="auto"/>
              <w:jc w:val="center"/>
              <w:rPr>
                <w:rFonts w:ascii="Times New Roman" w:hAnsi="Times New Roman"/>
                <w:sz w:val="24"/>
                <w:szCs w:val="24"/>
              </w:rPr>
            </w:pPr>
            <w:r w:rsidRPr="003721BA">
              <w:rPr>
                <w:rFonts w:ascii="Times New Roman" w:hAnsi="Times New Roman"/>
                <w:sz w:val="24"/>
                <w:szCs w:val="24"/>
              </w:rPr>
              <w:t>1,1250</w:t>
            </w:r>
          </w:p>
        </w:tc>
        <w:tc>
          <w:tcPr>
            <w:tcW w:w="2161" w:type="dxa"/>
          </w:tcPr>
          <w:p w:rsidR="00324C81" w:rsidRPr="003721BA" w:rsidRDefault="00324C81" w:rsidP="00773DE9">
            <w:pPr>
              <w:autoSpaceDE w:val="0"/>
              <w:autoSpaceDN w:val="0"/>
              <w:adjustRightInd w:val="0"/>
              <w:spacing w:after="0" w:line="240" w:lineRule="auto"/>
              <w:jc w:val="center"/>
              <w:rPr>
                <w:rFonts w:ascii="Times New Roman" w:hAnsi="Times New Roman"/>
                <w:sz w:val="24"/>
                <w:szCs w:val="24"/>
              </w:rPr>
            </w:pPr>
            <w:r w:rsidRPr="003721BA">
              <w:rPr>
                <w:rFonts w:ascii="Times New Roman" w:hAnsi="Times New Roman"/>
                <w:sz w:val="24"/>
                <w:szCs w:val="24"/>
              </w:rPr>
              <w:t>0,2431</w:t>
            </w:r>
          </w:p>
        </w:tc>
      </w:tr>
      <w:tr w:rsidR="00324C81" w:rsidRPr="003721BA" w:rsidTr="00773DE9">
        <w:tc>
          <w:tcPr>
            <w:tcW w:w="2053" w:type="dxa"/>
          </w:tcPr>
          <w:p w:rsidR="00324C81" w:rsidRPr="003721BA" w:rsidRDefault="00324C81" w:rsidP="00773DE9">
            <w:pPr>
              <w:autoSpaceDE w:val="0"/>
              <w:autoSpaceDN w:val="0"/>
              <w:adjustRightInd w:val="0"/>
              <w:spacing w:after="0" w:line="240" w:lineRule="auto"/>
              <w:jc w:val="center"/>
              <w:rPr>
                <w:rFonts w:ascii="Times New Roman" w:hAnsi="Times New Roman"/>
                <w:sz w:val="24"/>
                <w:szCs w:val="24"/>
              </w:rPr>
            </w:pPr>
            <w:r w:rsidRPr="003721BA">
              <w:rPr>
                <w:rFonts w:ascii="Times New Roman" w:hAnsi="Times New Roman"/>
                <w:sz w:val="24"/>
                <w:szCs w:val="24"/>
              </w:rPr>
              <w:t>Skupienie 3</w:t>
            </w:r>
          </w:p>
        </w:tc>
        <w:tc>
          <w:tcPr>
            <w:tcW w:w="2161" w:type="dxa"/>
          </w:tcPr>
          <w:p w:rsidR="00324C81" w:rsidRPr="003721BA" w:rsidRDefault="00324C81" w:rsidP="00773DE9">
            <w:pPr>
              <w:autoSpaceDE w:val="0"/>
              <w:autoSpaceDN w:val="0"/>
              <w:adjustRightInd w:val="0"/>
              <w:spacing w:after="0" w:line="240" w:lineRule="auto"/>
              <w:jc w:val="center"/>
              <w:rPr>
                <w:rFonts w:ascii="Times New Roman" w:hAnsi="Times New Roman"/>
                <w:sz w:val="24"/>
                <w:szCs w:val="24"/>
              </w:rPr>
            </w:pPr>
            <w:r w:rsidRPr="003721BA">
              <w:rPr>
                <w:rFonts w:ascii="Times New Roman" w:hAnsi="Times New Roman"/>
                <w:sz w:val="24"/>
                <w:szCs w:val="24"/>
              </w:rPr>
              <w:t>0,1086</w:t>
            </w:r>
          </w:p>
        </w:tc>
        <w:tc>
          <w:tcPr>
            <w:tcW w:w="2161" w:type="dxa"/>
          </w:tcPr>
          <w:p w:rsidR="00324C81" w:rsidRPr="003721BA" w:rsidRDefault="00324C81" w:rsidP="00773DE9">
            <w:pPr>
              <w:autoSpaceDE w:val="0"/>
              <w:autoSpaceDN w:val="0"/>
              <w:adjustRightInd w:val="0"/>
              <w:spacing w:after="0" w:line="240" w:lineRule="auto"/>
              <w:jc w:val="center"/>
              <w:rPr>
                <w:rFonts w:ascii="Times New Roman" w:hAnsi="Times New Roman"/>
                <w:sz w:val="24"/>
                <w:szCs w:val="24"/>
              </w:rPr>
            </w:pPr>
            <w:r w:rsidRPr="003721BA">
              <w:rPr>
                <w:rFonts w:ascii="Times New Roman" w:hAnsi="Times New Roman"/>
                <w:sz w:val="24"/>
                <w:szCs w:val="24"/>
              </w:rPr>
              <w:t>0,7666</w:t>
            </w:r>
          </w:p>
        </w:tc>
        <w:tc>
          <w:tcPr>
            <w:tcW w:w="2161" w:type="dxa"/>
          </w:tcPr>
          <w:p w:rsidR="00324C81" w:rsidRPr="003721BA" w:rsidRDefault="00324C81" w:rsidP="00773DE9">
            <w:pPr>
              <w:autoSpaceDE w:val="0"/>
              <w:autoSpaceDN w:val="0"/>
              <w:adjustRightInd w:val="0"/>
              <w:spacing w:after="0" w:line="240" w:lineRule="auto"/>
              <w:jc w:val="center"/>
              <w:rPr>
                <w:rFonts w:ascii="Times New Roman" w:hAnsi="Times New Roman"/>
                <w:sz w:val="24"/>
                <w:szCs w:val="24"/>
              </w:rPr>
            </w:pPr>
            <w:r w:rsidRPr="003721BA">
              <w:rPr>
                <w:rFonts w:ascii="Times New Roman" w:hAnsi="Times New Roman"/>
                <w:sz w:val="24"/>
                <w:szCs w:val="24"/>
              </w:rPr>
              <w:t>0,1842</w:t>
            </w:r>
          </w:p>
        </w:tc>
      </w:tr>
    </w:tbl>
    <w:p w:rsidR="00324C81" w:rsidRPr="003721BA" w:rsidRDefault="00324C81" w:rsidP="00324C81">
      <w:pPr>
        <w:autoSpaceDE w:val="0"/>
        <w:autoSpaceDN w:val="0"/>
        <w:adjustRightInd w:val="0"/>
        <w:spacing w:after="0" w:line="360" w:lineRule="auto"/>
        <w:rPr>
          <w:rFonts w:ascii="Times New Roman" w:hAnsi="Times New Roman"/>
          <w:sz w:val="10"/>
          <w:szCs w:val="10"/>
        </w:rPr>
      </w:pPr>
    </w:p>
    <w:p w:rsidR="00324C81" w:rsidRPr="003721BA" w:rsidRDefault="00324C81" w:rsidP="00324C81">
      <w:pPr>
        <w:autoSpaceDE w:val="0"/>
        <w:autoSpaceDN w:val="0"/>
        <w:adjustRightInd w:val="0"/>
        <w:spacing w:after="0" w:line="360" w:lineRule="auto"/>
        <w:rPr>
          <w:rFonts w:ascii="Times New Roman" w:hAnsi="Times New Roman"/>
          <w:sz w:val="20"/>
          <w:szCs w:val="20"/>
        </w:rPr>
      </w:pPr>
      <w:r w:rsidRPr="003721BA">
        <w:rPr>
          <w:rFonts w:ascii="Times New Roman" w:hAnsi="Times New Roman"/>
          <w:sz w:val="20"/>
          <w:szCs w:val="20"/>
        </w:rPr>
        <w:t>Źródło: opracowanie własne na podstawie przeprowadzonych obliczeń.</w:t>
      </w:r>
    </w:p>
    <w:p w:rsidR="00324C81" w:rsidRPr="003721BA" w:rsidRDefault="00324C81" w:rsidP="00324C81">
      <w:pPr>
        <w:autoSpaceDE w:val="0"/>
        <w:autoSpaceDN w:val="0"/>
        <w:adjustRightInd w:val="0"/>
        <w:spacing w:after="0" w:line="360" w:lineRule="auto"/>
        <w:jc w:val="both"/>
        <w:rPr>
          <w:rFonts w:ascii="Times New Roman" w:hAnsi="Times New Roman"/>
          <w:b/>
        </w:rPr>
      </w:pPr>
    </w:p>
    <w:p w:rsidR="00324C81" w:rsidRPr="003721BA" w:rsidRDefault="00324C81" w:rsidP="00324C81">
      <w:pPr>
        <w:autoSpaceDE w:val="0"/>
        <w:autoSpaceDN w:val="0"/>
        <w:adjustRightInd w:val="0"/>
        <w:spacing w:after="0" w:line="240" w:lineRule="auto"/>
        <w:jc w:val="center"/>
        <w:rPr>
          <w:rFonts w:ascii="Times New Roman" w:hAnsi="Times New Roman"/>
          <w:b/>
          <w:sz w:val="24"/>
          <w:szCs w:val="24"/>
        </w:rPr>
      </w:pPr>
      <w:r w:rsidRPr="003721BA">
        <w:rPr>
          <w:rFonts w:ascii="Times New Roman" w:hAnsi="Times New Roman"/>
          <w:b/>
          <w:sz w:val="24"/>
          <w:szCs w:val="24"/>
        </w:rPr>
        <w:t>Tabela 4.  Skupienia gmin w województwie małopolskim o podobnym poziomie wykorzystania środków zwrotnych w finansowaniu inwestycji</w:t>
      </w:r>
    </w:p>
    <w:p w:rsidR="00324C81" w:rsidRPr="003721BA" w:rsidRDefault="00324C81" w:rsidP="00324C81">
      <w:pPr>
        <w:autoSpaceDE w:val="0"/>
        <w:autoSpaceDN w:val="0"/>
        <w:adjustRightInd w:val="0"/>
        <w:spacing w:after="0" w:line="240" w:lineRule="auto"/>
        <w:ind w:firstLine="708"/>
        <w:rPr>
          <w:rFonts w:ascii="Times New Roman" w:hAnsi="Times New Roman"/>
          <w:sz w:val="10"/>
          <w:szCs w:val="10"/>
          <w:lang w:eastAsia="pl-PL"/>
        </w:rPr>
      </w:pPr>
    </w:p>
    <w:tbl>
      <w:tblPr>
        <w:tblStyle w:val="Tabela-Siatka"/>
        <w:tblW w:w="0" w:type="auto"/>
        <w:tblInd w:w="108" w:type="dxa"/>
        <w:tblLook w:val="04A0"/>
      </w:tblPr>
      <w:tblGrid>
        <w:gridCol w:w="2199"/>
        <w:gridCol w:w="6413"/>
      </w:tblGrid>
      <w:tr w:rsidR="00324C81" w:rsidRPr="003721BA" w:rsidTr="00773DE9">
        <w:trPr>
          <w:trHeight w:val="370"/>
        </w:trPr>
        <w:tc>
          <w:tcPr>
            <w:tcW w:w="2268"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Skupienie</w:t>
            </w:r>
          </w:p>
        </w:tc>
        <w:tc>
          <w:tcPr>
            <w:tcW w:w="6848"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Gminy</w:t>
            </w:r>
          </w:p>
        </w:tc>
      </w:tr>
      <w:tr w:rsidR="00324C81" w:rsidRPr="003721BA" w:rsidTr="00773DE9">
        <w:tc>
          <w:tcPr>
            <w:tcW w:w="2268" w:type="dxa"/>
            <w:vAlign w:val="center"/>
          </w:tcPr>
          <w:p w:rsidR="00324C81"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Skupienie 1</w:t>
            </w:r>
          </w:p>
          <w:p w:rsidR="00324C81" w:rsidRPr="00CC5DE5" w:rsidRDefault="00324C81" w:rsidP="00773DE9">
            <w:pPr>
              <w:autoSpaceDE w:val="0"/>
              <w:autoSpaceDN w:val="0"/>
              <w:adjustRightInd w:val="0"/>
              <w:spacing w:after="0" w:line="240" w:lineRule="auto"/>
              <w:jc w:val="center"/>
              <w:rPr>
                <w:rFonts w:ascii="Times New Roman" w:hAnsi="Times New Roman"/>
                <w:szCs w:val="24"/>
                <w:lang w:eastAsia="pl-PL"/>
              </w:rPr>
            </w:pPr>
            <w:r w:rsidRPr="00CC5DE5">
              <w:rPr>
                <w:rFonts w:ascii="Times New Roman" w:hAnsi="Times New Roman"/>
                <w:szCs w:val="24"/>
                <w:lang w:eastAsia="pl-PL"/>
              </w:rPr>
              <w:t>(47 gmin)</w:t>
            </w:r>
          </w:p>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p>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 xml:space="preserve"> Gminy, które w najwyższym stopniu wykorzystują środki zwrotne w finansowaniu inwestycji </w:t>
            </w:r>
          </w:p>
        </w:tc>
        <w:tc>
          <w:tcPr>
            <w:tcW w:w="6848" w:type="dxa"/>
            <w:shd w:val="clear" w:color="auto" w:fill="auto"/>
            <w:vAlign w:val="center"/>
          </w:tcPr>
          <w:p w:rsidR="00324C81" w:rsidRPr="003721BA" w:rsidRDefault="00324C81" w:rsidP="00773DE9">
            <w:pPr>
              <w:autoSpaceDE w:val="0"/>
              <w:autoSpaceDN w:val="0"/>
              <w:adjustRightInd w:val="0"/>
              <w:spacing w:after="0" w:line="240" w:lineRule="auto"/>
              <w:rPr>
                <w:rFonts w:ascii="Times New Roman" w:hAnsi="Times New Roman"/>
                <w:szCs w:val="24"/>
                <w:lang w:eastAsia="pl-PL"/>
              </w:rPr>
            </w:pPr>
            <w:r w:rsidRPr="003721BA">
              <w:rPr>
                <w:rFonts w:ascii="Times New Roman" w:hAnsi="Times New Roman"/>
                <w:szCs w:val="24"/>
                <w:lang w:eastAsia="pl-PL"/>
              </w:rPr>
              <w:t>Bochnia (1), Skała (3), Czarny Dunajec (2), Biskupice (2), Łososina Dolna (2), Pleśna (2), Iwkowa (2), Łużna (2), Słaboszów (2), Tuchów (3), Charsznica (2), Andrychów (3), Mogilany (2), Krościenko nad Dunajcem (2), Spytkowice (2) [powiat wadowicki], Gorlice (2), Pcim (2), Miechów (3), Dębno (2), Zawoja (2), Limanowa (2), Tymbark (2), Stryszawa (2), Tarnów (2), Niepołomice (3), Oświęcim (1), Lipnica Murowana (2), Raciechowice (2), Gnojnik (2), Żegocina (2), Lisia Góra (2), Radziemice (2), Radłów (3), Rzezawa (2), Czchów (3), Wierzchosławice (2), Zakopane (1), Kęty (3), Borzęcin (2), Książ Wielki (2), Rzepiennik Strzyżewski (2), Babice (2), Zabierzów (2), Żabno (3), Siepraw (2), Skrzyszów (2), Piwniczna-Zdrój (3)</w:t>
            </w:r>
          </w:p>
        </w:tc>
      </w:tr>
      <w:tr w:rsidR="00324C81" w:rsidRPr="003721BA" w:rsidTr="00773DE9">
        <w:trPr>
          <w:trHeight w:val="3199"/>
        </w:trPr>
        <w:tc>
          <w:tcPr>
            <w:tcW w:w="2268" w:type="dxa"/>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Skupienie 2</w:t>
            </w:r>
          </w:p>
          <w:p w:rsidR="00324C81" w:rsidRPr="00CC5DE5" w:rsidRDefault="00324C81" w:rsidP="00773DE9">
            <w:pPr>
              <w:autoSpaceDE w:val="0"/>
              <w:autoSpaceDN w:val="0"/>
              <w:adjustRightInd w:val="0"/>
              <w:spacing w:after="0" w:line="240" w:lineRule="auto"/>
              <w:jc w:val="center"/>
              <w:rPr>
                <w:rFonts w:ascii="Times New Roman" w:hAnsi="Times New Roman"/>
                <w:szCs w:val="24"/>
                <w:lang w:eastAsia="pl-PL"/>
              </w:rPr>
            </w:pPr>
            <w:r w:rsidRPr="00CC5DE5">
              <w:rPr>
                <w:rFonts w:ascii="Times New Roman" w:hAnsi="Times New Roman"/>
                <w:szCs w:val="24"/>
                <w:lang w:eastAsia="pl-PL"/>
              </w:rPr>
              <w:t>(54 gmin)</w:t>
            </w:r>
          </w:p>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p>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Gminy, które w średnim stopniu wykorzystują środki zwrotne w finansowaniu inwestycji</w:t>
            </w:r>
          </w:p>
        </w:tc>
        <w:tc>
          <w:tcPr>
            <w:tcW w:w="6848" w:type="dxa"/>
            <w:vAlign w:val="center"/>
          </w:tcPr>
          <w:p w:rsidR="00324C81" w:rsidRPr="003721BA" w:rsidRDefault="00324C81" w:rsidP="00773DE9">
            <w:pPr>
              <w:autoSpaceDE w:val="0"/>
              <w:autoSpaceDN w:val="0"/>
              <w:adjustRightInd w:val="0"/>
              <w:spacing w:after="0" w:line="240" w:lineRule="auto"/>
              <w:rPr>
                <w:rFonts w:ascii="Times New Roman" w:hAnsi="Times New Roman"/>
                <w:szCs w:val="24"/>
                <w:lang w:eastAsia="pl-PL"/>
              </w:rPr>
            </w:pPr>
            <w:r w:rsidRPr="003721BA">
              <w:rPr>
                <w:rFonts w:ascii="Times New Roman" w:hAnsi="Times New Roman"/>
                <w:szCs w:val="24"/>
                <w:lang w:eastAsia="pl-PL"/>
              </w:rPr>
              <w:t>Bukowno (1), Słomniki (3), Szczurowa (2), Kościelisko (2), Podegrodzie (2), Drwinia (2), Liszki (2), Jodłownik (2), Limanowa (1), Nowy Targ (1), Muszyna (3), Ropa (2), Sułkowice (3), Wielka Wieś (2), Bukowina Tatrzańska (2), Dobra (2), Skawina (3), Myślenice (3), Gołcza (2), Łapsze Niżne (2), Jabłonka (2), Pałecznica (2), Łącko (2), Mszana Dolna (1), Jordanów (2), Kraków (1), Gdów (2), Tomice (2), Lipinki (2), Koszyce (2), Dąbrowa Tarnawska (3), Sułoszowa (2), Bobowa (3), Korzenna (2), Stary Sącz (3), Nowy Targ (2), Wieliczka (3), Mszana Dolna (2), Zakliczyn (3), Wieprz (2), Dobczyce (3), Rabka-Zdrój (3), Sucha Beskidzka (1), Zielonki (2), Raba Wyżna (2), Przeciszów (2), Kamienica (2), Michałowice (2), Zembrzyce (2), Trzyciąż (2), Sękowa (2), Czorsztyn (2), Zator (3), Racławice (2)</w:t>
            </w:r>
          </w:p>
        </w:tc>
      </w:tr>
      <w:tr w:rsidR="00324C81" w:rsidRPr="003721BA" w:rsidTr="00773DE9">
        <w:trPr>
          <w:trHeight w:val="4390"/>
        </w:trPr>
        <w:tc>
          <w:tcPr>
            <w:tcW w:w="2268" w:type="dxa"/>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lastRenderedPageBreak/>
              <w:t>Skupienie 3</w:t>
            </w:r>
          </w:p>
          <w:p w:rsidR="00324C81" w:rsidRDefault="00324C81" w:rsidP="00773DE9">
            <w:pPr>
              <w:autoSpaceDE w:val="0"/>
              <w:autoSpaceDN w:val="0"/>
              <w:adjustRightInd w:val="0"/>
              <w:spacing w:after="0" w:line="240" w:lineRule="auto"/>
              <w:jc w:val="center"/>
              <w:rPr>
                <w:rFonts w:ascii="Times New Roman" w:hAnsi="Times New Roman"/>
                <w:szCs w:val="24"/>
                <w:lang w:eastAsia="pl-PL"/>
              </w:rPr>
            </w:pPr>
            <w:r>
              <w:rPr>
                <w:rFonts w:ascii="Times New Roman" w:hAnsi="Times New Roman"/>
                <w:szCs w:val="24"/>
                <w:lang w:eastAsia="pl-PL"/>
              </w:rPr>
              <w:t>(81 gmin)</w:t>
            </w:r>
          </w:p>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p>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Gminy, które w najmniejszym stopniu wykorzystują środki zwrotne w finansowaniu inwestycji</w:t>
            </w:r>
          </w:p>
        </w:tc>
        <w:tc>
          <w:tcPr>
            <w:tcW w:w="6848" w:type="dxa"/>
            <w:vAlign w:val="center"/>
          </w:tcPr>
          <w:p w:rsidR="00324C81" w:rsidRPr="003721BA" w:rsidRDefault="00324C81" w:rsidP="00773DE9">
            <w:pPr>
              <w:autoSpaceDE w:val="0"/>
              <w:autoSpaceDN w:val="0"/>
              <w:adjustRightInd w:val="0"/>
              <w:spacing w:after="0" w:line="240" w:lineRule="auto"/>
              <w:rPr>
                <w:rFonts w:ascii="Times New Roman" w:hAnsi="Times New Roman"/>
                <w:szCs w:val="24"/>
                <w:lang w:eastAsia="pl-PL"/>
              </w:rPr>
            </w:pPr>
            <w:r w:rsidRPr="003721BA">
              <w:rPr>
                <w:rFonts w:ascii="Times New Roman" w:hAnsi="Times New Roman"/>
                <w:szCs w:val="24"/>
                <w:lang w:eastAsia="pl-PL"/>
              </w:rPr>
              <w:t xml:space="preserve">Gorlice (1), Mucharz (2), Świątniki Górne (3), Iwanowice (2), Olesno (2), Laskowa (2), Biały Dunajec (2), Spytkowice (2) [powiat nowotarski], Kamionka Wielka (2), Kocmyrzów- Luborzyca (2), </w:t>
            </w:r>
            <w:proofErr w:type="spellStart"/>
            <w:r w:rsidRPr="003721BA">
              <w:rPr>
                <w:rFonts w:ascii="Times New Roman" w:hAnsi="Times New Roman"/>
                <w:szCs w:val="24"/>
                <w:lang w:eastAsia="pl-PL"/>
              </w:rPr>
              <w:t>Wolbram</w:t>
            </w:r>
            <w:proofErr w:type="spellEnd"/>
            <w:r w:rsidRPr="003721BA">
              <w:rPr>
                <w:rFonts w:ascii="Times New Roman" w:hAnsi="Times New Roman"/>
                <w:szCs w:val="24"/>
                <w:lang w:eastAsia="pl-PL"/>
              </w:rPr>
              <w:t xml:space="preserve"> (3), Oświęcim (2), Radgoszcz (2), Olkusz (3), Bolesław (2) [powiat olkuski], Igołomia-Wawrzeńczyce (2), Kłaj (2), Moszczenica (2), Chrzanów (3), Chełmiec (2), Wojnicz (3), Szczawnica (3),  Grybów (2), Osiek (2), Słopnice (2), Łabowa (2), Uście Gorlickie (2), Nawojowa (2), Niedźwiedź (2), Budzów (2), Klucze (2), Bystra-Sidzina (2), Kalwaria Zebrzydowska (3), Chełmek (3), Koniusza (2), Mędrzechów (2), Proszowice (3), Grybów (1), Gromnik (2), Wietrzychowice (2), Jordanów (1), Bolesław (2) [powiat dąbrowski], Wiśniowa (2), Wadowice (3), Biecz (3), Nowy Wiśnicz (3), Gręboszów (2), Trzciana (2), Lanckorona (2), Lipnica Wielka (2), Łapanów (2), Jerzmanowice-Przeginia (2), Tokarnia (2), Brzeszcze (3), Kozłów (2), Ochotnica Dolna (2), Łukowica (2), Bochnia (3), Nowy Sącz (1), Polanka Wielka (2), Libiąż (3), Poronin (2), Ryglice (3), Krynica-Zdrój (3), Szczucin (3), Tarnów (1), Brzeźnica (2), Trzebinia (3), Gródek nad Dunajcem (2), Stryszów (2), Szerzyny (2), Lubień (2), Czernichów (2), Szaflary (2), Krzeszowice (3), Maków Podhalański (3), Rytro (2), Ciężkowice (3), Alwernia (3), Brzesko (3), Nowe Brzesko (3)</w:t>
            </w:r>
          </w:p>
        </w:tc>
      </w:tr>
    </w:tbl>
    <w:p w:rsidR="00324C81" w:rsidRPr="00324C81" w:rsidRDefault="00324C81" w:rsidP="00324C81">
      <w:pPr>
        <w:autoSpaceDE w:val="0"/>
        <w:autoSpaceDN w:val="0"/>
        <w:adjustRightInd w:val="0"/>
        <w:spacing w:after="0" w:line="240" w:lineRule="auto"/>
        <w:rPr>
          <w:rFonts w:ascii="Times New Roman" w:hAnsi="Times New Roman"/>
          <w:sz w:val="12"/>
          <w:szCs w:val="12"/>
          <w:lang w:eastAsia="pl-PL"/>
        </w:rPr>
      </w:pPr>
    </w:p>
    <w:p w:rsidR="00324C81" w:rsidRPr="00817F4E" w:rsidRDefault="00324C81" w:rsidP="00324C81">
      <w:pPr>
        <w:autoSpaceDE w:val="0"/>
        <w:autoSpaceDN w:val="0"/>
        <w:adjustRightInd w:val="0"/>
        <w:spacing w:after="0" w:line="240" w:lineRule="auto"/>
        <w:rPr>
          <w:rFonts w:ascii="Times New Roman" w:hAnsi="Times New Roman"/>
          <w:sz w:val="18"/>
          <w:szCs w:val="18"/>
          <w:lang w:eastAsia="pl-PL"/>
        </w:rPr>
      </w:pPr>
      <w:r>
        <w:rPr>
          <w:rFonts w:ascii="Times New Roman" w:hAnsi="Times New Roman"/>
          <w:sz w:val="18"/>
          <w:szCs w:val="18"/>
          <w:lang w:eastAsia="pl-PL"/>
        </w:rPr>
        <w:t xml:space="preserve">(1) </w:t>
      </w:r>
      <w:r w:rsidRPr="00817F4E">
        <w:rPr>
          <w:rFonts w:ascii="Times New Roman" w:hAnsi="Times New Roman"/>
          <w:sz w:val="18"/>
          <w:szCs w:val="18"/>
          <w:lang w:eastAsia="pl-PL"/>
        </w:rPr>
        <w:t>– gmina miejska, (2) – gmina wiejska, (3) – gmina miejsko-wiejska</w:t>
      </w:r>
    </w:p>
    <w:p w:rsidR="00324C81" w:rsidRPr="00817F4E" w:rsidRDefault="00324C81" w:rsidP="00324C81">
      <w:pPr>
        <w:autoSpaceDE w:val="0"/>
        <w:autoSpaceDN w:val="0"/>
        <w:adjustRightInd w:val="0"/>
        <w:spacing w:after="0" w:line="240" w:lineRule="auto"/>
        <w:rPr>
          <w:rFonts w:ascii="Times New Roman" w:hAnsi="Times New Roman"/>
          <w:sz w:val="12"/>
          <w:szCs w:val="12"/>
          <w:lang w:eastAsia="pl-PL"/>
        </w:rPr>
      </w:pPr>
    </w:p>
    <w:p w:rsidR="00324C81" w:rsidRPr="003721BA" w:rsidRDefault="00324C81" w:rsidP="00324C81">
      <w:pPr>
        <w:autoSpaceDE w:val="0"/>
        <w:autoSpaceDN w:val="0"/>
        <w:adjustRightInd w:val="0"/>
        <w:spacing w:after="0" w:line="240" w:lineRule="auto"/>
        <w:rPr>
          <w:rFonts w:ascii="Times New Roman" w:hAnsi="Times New Roman"/>
          <w:sz w:val="20"/>
          <w:szCs w:val="20"/>
        </w:rPr>
      </w:pPr>
      <w:r w:rsidRPr="003721BA">
        <w:rPr>
          <w:rFonts w:ascii="Times New Roman" w:hAnsi="Times New Roman"/>
          <w:sz w:val="20"/>
          <w:szCs w:val="20"/>
        </w:rPr>
        <w:t>Źródło: opracowanie własne</w:t>
      </w:r>
      <w:r>
        <w:rPr>
          <w:rFonts w:ascii="Times New Roman" w:hAnsi="Times New Roman"/>
          <w:sz w:val="20"/>
          <w:szCs w:val="20"/>
        </w:rPr>
        <w:t>.</w:t>
      </w:r>
    </w:p>
    <w:p w:rsidR="00324C81" w:rsidRPr="003721BA" w:rsidRDefault="00324C81" w:rsidP="00324C81">
      <w:pPr>
        <w:autoSpaceDE w:val="0"/>
        <w:autoSpaceDN w:val="0"/>
        <w:adjustRightInd w:val="0"/>
        <w:spacing w:after="0" w:line="240" w:lineRule="auto"/>
        <w:rPr>
          <w:rFonts w:ascii="Times New Roman" w:hAnsi="Times New Roman"/>
        </w:rPr>
      </w:pPr>
    </w:p>
    <w:p w:rsidR="00324C81" w:rsidRPr="003721BA" w:rsidRDefault="00324C81" w:rsidP="00324C81">
      <w:pPr>
        <w:autoSpaceDE w:val="0"/>
        <w:autoSpaceDN w:val="0"/>
        <w:adjustRightInd w:val="0"/>
        <w:spacing w:after="0" w:line="240" w:lineRule="auto"/>
        <w:jc w:val="center"/>
        <w:rPr>
          <w:rFonts w:ascii="Times New Roman" w:hAnsi="Times New Roman"/>
          <w:b/>
          <w:sz w:val="24"/>
          <w:szCs w:val="24"/>
        </w:rPr>
      </w:pPr>
      <w:r w:rsidRPr="003721BA">
        <w:rPr>
          <w:rFonts w:ascii="Times New Roman" w:hAnsi="Times New Roman"/>
          <w:b/>
          <w:sz w:val="24"/>
          <w:szCs w:val="24"/>
        </w:rPr>
        <w:t>Tabela 5.  Rodzaje gmin w poszczególnych skupieniach</w:t>
      </w:r>
    </w:p>
    <w:p w:rsidR="00324C81" w:rsidRPr="003721BA" w:rsidRDefault="00324C81" w:rsidP="00324C81">
      <w:pPr>
        <w:autoSpaceDE w:val="0"/>
        <w:autoSpaceDN w:val="0"/>
        <w:adjustRightInd w:val="0"/>
        <w:spacing w:after="0" w:line="240" w:lineRule="auto"/>
        <w:rPr>
          <w:rFonts w:ascii="Times New Roman" w:hAnsi="Times New Roman"/>
          <w:sz w:val="10"/>
          <w:szCs w:val="10"/>
        </w:rPr>
      </w:pPr>
    </w:p>
    <w:tbl>
      <w:tblPr>
        <w:tblStyle w:val="Tabela-Siatka"/>
        <w:tblW w:w="0" w:type="auto"/>
        <w:jc w:val="center"/>
        <w:tblCellMar>
          <w:top w:w="28" w:type="dxa"/>
          <w:left w:w="45" w:type="dxa"/>
          <w:bottom w:w="28" w:type="dxa"/>
          <w:right w:w="45" w:type="dxa"/>
        </w:tblCellMar>
        <w:tblLook w:val="04A0"/>
      </w:tblPr>
      <w:tblGrid>
        <w:gridCol w:w="2579"/>
        <w:gridCol w:w="2003"/>
        <w:gridCol w:w="2003"/>
        <w:gridCol w:w="2009"/>
      </w:tblGrid>
      <w:tr w:rsidR="00324C81" w:rsidRPr="003721BA" w:rsidTr="00773DE9">
        <w:trPr>
          <w:trHeight w:val="560"/>
          <w:jc w:val="center"/>
        </w:trPr>
        <w:tc>
          <w:tcPr>
            <w:tcW w:w="2827"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Rodzaj gminy</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Skupienie 1</w:t>
            </w:r>
          </w:p>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szCs w:val="24"/>
                <w:lang w:eastAsia="pl-PL"/>
              </w:rPr>
              <w:t xml:space="preserve"> Gminy, które w najwyższym stopniu wykorzystują środki zwrotne w finansowaniu inwestycji</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Skupienie 2</w:t>
            </w:r>
          </w:p>
          <w:p w:rsidR="00324C81" w:rsidRPr="003721BA" w:rsidRDefault="00324C81" w:rsidP="00773DE9">
            <w:pPr>
              <w:spacing w:after="0" w:line="240" w:lineRule="auto"/>
              <w:jc w:val="center"/>
              <w:rPr>
                <w:b/>
              </w:rPr>
            </w:pPr>
            <w:r w:rsidRPr="003721BA">
              <w:rPr>
                <w:rFonts w:ascii="Times New Roman" w:hAnsi="Times New Roman"/>
                <w:szCs w:val="24"/>
                <w:lang w:eastAsia="pl-PL"/>
              </w:rPr>
              <w:t>Gminy, które w średnim stopniu wykorzystują środki zwrotne w finansowaniu inwestycji</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Skupienie 3</w:t>
            </w:r>
          </w:p>
          <w:p w:rsidR="00324C81" w:rsidRPr="003721BA" w:rsidRDefault="00324C81" w:rsidP="00773DE9">
            <w:pPr>
              <w:spacing w:after="0" w:line="240" w:lineRule="auto"/>
              <w:jc w:val="center"/>
              <w:rPr>
                <w:b/>
              </w:rPr>
            </w:pPr>
            <w:r w:rsidRPr="003721BA">
              <w:rPr>
                <w:rFonts w:ascii="Times New Roman" w:hAnsi="Times New Roman"/>
                <w:szCs w:val="24"/>
                <w:lang w:eastAsia="pl-PL"/>
              </w:rPr>
              <w:t>Gminy, które w najmniejszym stopniu wykorzystują środki zwrotne w finansowaniu inwestycji</w:t>
            </w:r>
          </w:p>
        </w:tc>
      </w:tr>
      <w:tr w:rsidR="00324C81" w:rsidRPr="003721BA" w:rsidTr="00773DE9">
        <w:trPr>
          <w:jc w:val="center"/>
        </w:trPr>
        <w:tc>
          <w:tcPr>
            <w:tcW w:w="2827" w:type="dxa"/>
            <w:shd w:val="clear" w:color="auto" w:fill="auto"/>
          </w:tcPr>
          <w:p w:rsidR="00324C81" w:rsidRPr="003721BA" w:rsidRDefault="00324C81" w:rsidP="00773DE9">
            <w:pPr>
              <w:autoSpaceDE w:val="0"/>
              <w:autoSpaceDN w:val="0"/>
              <w:adjustRightInd w:val="0"/>
              <w:spacing w:after="0" w:line="240" w:lineRule="auto"/>
              <w:rPr>
                <w:rFonts w:ascii="Times New Roman" w:hAnsi="Times New Roman"/>
                <w:szCs w:val="24"/>
                <w:lang w:eastAsia="pl-PL"/>
              </w:rPr>
            </w:pPr>
            <w:r w:rsidRPr="003721BA">
              <w:rPr>
                <w:rFonts w:ascii="Times New Roman" w:hAnsi="Times New Roman"/>
                <w:szCs w:val="24"/>
                <w:lang w:eastAsia="pl-PL"/>
              </w:rPr>
              <w:t>Gminy miejskie (1)</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3</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6</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5</w:t>
            </w:r>
          </w:p>
        </w:tc>
      </w:tr>
      <w:tr w:rsidR="00324C81" w:rsidRPr="003721BA" w:rsidTr="00773DE9">
        <w:trPr>
          <w:jc w:val="center"/>
        </w:trPr>
        <w:tc>
          <w:tcPr>
            <w:tcW w:w="2827" w:type="dxa"/>
            <w:shd w:val="clear" w:color="auto" w:fill="auto"/>
          </w:tcPr>
          <w:p w:rsidR="00324C81" w:rsidRPr="003721BA" w:rsidRDefault="00324C81" w:rsidP="00773DE9">
            <w:pPr>
              <w:autoSpaceDE w:val="0"/>
              <w:autoSpaceDN w:val="0"/>
              <w:adjustRightInd w:val="0"/>
              <w:spacing w:after="0" w:line="240" w:lineRule="auto"/>
              <w:rPr>
                <w:rFonts w:ascii="Times New Roman" w:hAnsi="Times New Roman"/>
                <w:szCs w:val="24"/>
                <w:lang w:eastAsia="pl-PL"/>
              </w:rPr>
            </w:pPr>
            <w:r w:rsidRPr="003721BA">
              <w:rPr>
                <w:rFonts w:ascii="Times New Roman" w:hAnsi="Times New Roman"/>
                <w:szCs w:val="24"/>
                <w:lang w:eastAsia="pl-PL"/>
              </w:rPr>
              <w:t>Gminy wiejskie (2)</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34</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35</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52</w:t>
            </w:r>
          </w:p>
        </w:tc>
      </w:tr>
      <w:tr w:rsidR="00324C81" w:rsidRPr="003721BA" w:rsidTr="00773DE9">
        <w:trPr>
          <w:jc w:val="center"/>
        </w:trPr>
        <w:tc>
          <w:tcPr>
            <w:tcW w:w="2827" w:type="dxa"/>
            <w:shd w:val="clear" w:color="auto" w:fill="auto"/>
          </w:tcPr>
          <w:p w:rsidR="00324C81" w:rsidRPr="003721BA" w:rsidRDefault="00324C81" w:rsidP="00773DE9">
            <w:pPr>
              <w:autoSpaceDE w:val="0"/>
              <w:autoSpaceDN w:val="0"/>
              <w:adjustRightInd w:val="0"/>
              <w:spacing w:after="0" w:line="240" w:lineRule="auto"/>
              <w:rPr>
                <w:rFonts w:ascii="Times New Roman" w:hAnsi="Times New Roman"/>
                <w:szCs w:val="24"/>
                <w:lang w:eastAsia="pl-PL"/>
              </w:rPr>
            </w:pPr>
            <w:r w:rsidRPr="003721BA">
              <w:rPr>
                <w:rFonts w:ascii="Times New Roman" w:hAnsi="Times New Roman"/>
                <w:szCs w:val="24"/>
                <w:lang w:eastAsia="pl-PL"/>
              </w:rPr>
              <w:t xml:space="preserve">Gminy miejsko-wiejskie (3) </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10</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13</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24</w:t>
            </w:r>
          </w:p>
        </w:tc>
      </w:tr>
      <w:tr w:rsidR="00324C81" w:rsidRPr="003721BA" w:rsidTr="00773DE9">
        <w:trPr>
          <w:trHeight w:val="406"/>
          <w:jc w:val="center"/>
        </w:trPr>
        <w:tc>
          <w:tcPr>
            <w:tcW w:w="2827"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Razem</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47</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54</w:t>
            </w:r>
          </w:p>
        </w:tc>
        <w:tc>
          <w:tcPr>
            <w:tcW w:w="2076"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81</w:t>
            </w:r>
          </w:p>
        </w:tc>
      </w:tr>
    </w:tbl>
    <w:p w:rsidR="00324C81" w:rsidRPr="003721BA" w:rsidRDefault="00324C81" w:rsidP="00324C81">
      <w:pPr>
        <w:autoSpaceDE w:val="0"/>
        <w:autoSpaceDN w:val="0"/>
        <w:adjustRightInd w:val="0"/>
        <w:spacing w:after="0" w:line="240" w:lineRule="auto"/>
        <w:rPr>
          <w:rFonts w:ascii="Times New Roman" w:hAnsi="Times New Roman"/>
          <w:sz w:val="10"/>
          <w:szCs w:val="10"/>
          <w:lang w:eastAsia="pl-PL"/>
        </w:rPr>
      </w:pPr>
    </w:p>
    <w:p w:rsidR="00324C81" w:rsidRPr="003721BA" w:rsidRDefault="00324C81" w:rsidP="00324C81">
      <w:pPr>
        <w:autoSpaceDE w:val="0"/>
        <w:autoSpaceDN w:val="0"/>
        <w:adjustRightInd w:val="0"/>
        <w:spacing w:after="0" w:line="240" w:lineRule="auto"/>
        <w:rPr>
          <w:rFonts w:ascii="Times New Roman" w:hAnsi="Times New Roman"/>
          <w:sz w:val="20"/>
          <w:szCs w:val="20"/>
        </w:rPr>
      </w:pPr>
      <w:r w:rsidRPr="003721BA">
        <w:rPr>
          <w:rFonts w:ascii="Times New Roman" w:hAnsi="Times New Roman"/>
          <w:sz w:val="20"/>
          <w:szCs w:val="20"/>
        </w:rPr>
        <w:t>Źródło: opracowanie własne</w:t>
      </w:r>
      <w:r>
        <w:rPr>
          <w:rFonts w:ascii="Times New Roman" w:hAnsi="Times New Roman"/>
          <w:sz w:val="20"/>
          <w:szCs w:val="20"/>
        </w:rPr>
        <w:t>.</w:t>
      </w:r>
    </w:p>
    <w:p w:rsidR="00324C81" w:rsidRPr="003721BA" w:rsidRDefault="00324C81" w:rsidP="00324C81">
      <w:pPr>
        <w:autoSpaceDE w:val="0"/>
        <w:autoSpaceDN w:val="0"/>
        <w:adjustRightInd w:val="0"/>
        <w:spacing w:after="0" w:line="240" w:lineRule="auto"/>
        <w:rPr>
          <w:rFonts w:ascii="Times New Roman" w:hAnsi="Times New Roman"/>
          <w:sz w:val="24"/>
          <w:szCs w:val="24"/>
          <w:lang w:eastAsia="pl-PL"/>
        </w:rPr>
      </w:pPr>
    </w:p>
    <w:p w:rsidR="00324C81" w:rsidRPr="003721BA" w:rsidRDefault="00324C81" w:rsidP="00324C81">
      <w:pPr>
        <w:autoSpaceDE w:val="0"/>
        <w:autoSpaceDN w:val="0"/>
        <w:adjustRightInd w:val="0"/>
        <w:spacing w:after="0" w:line="240" w:lineRule="auto"/>
        <w:jc w:val="center"/>
        <w:rPr>
          <w:rFonts w:ascii="Times New Roman" w:hAnsi="Times New Roman"/>
          <w:b/>
          <w:sz w:val="24"/>
          <w:szCs w:val="24"/>
        </w:rPr>
      </w:pPr>
      <w:r w:rsidRPr="003721BA">
        <w:rPr>
          <w:rFonts w:ascii="Times New Roman" w:hAnsi="Times New Roman"/>
          <w:b/>
          <w:sz w:val="24"/>
          <w:szCs w:val="24"/>
        </w:rPr>
        <w:t>Tabela 6.  Dochody ogółem na 1 mieszkańca w poszczególnych skupieniach gmin</w:t>
      </w:r>
    </w:p>
    <w:p w:rsidR="00324C81" w:rsidRPr="003721BA" w:rsidRDefault="00324C81" w:rsidP="00324C81">
      <w:pPr>
        <w:autoSpaceDE w:val="0"/>
        <w:autoSpaceDN w:val="0"/>
        <w:adjustRightInd w:val="0"/>
        <w:spacing w:after="0" w:line="240" w:lineRule="auto"/>
        <w:rPr>
          <w:rFonts w:ascii="Times New Roman" w:hAnsi="Times New Roman"/>
          <w:sz w:val="10"/>
          <w:szCs w:val="10"/>
        </w:rPr>
      </w:pPr>
    </w:p>
    <w:tbl>
      <w:tblPr>
        <w:tblStyle w:val="Tabela-Siatka"/>
        <w:tblW w:w="0" w:type="auto"/>
        <w:jc w:val="center"/>
        <w:tblLook w:val="04A0"/>
      </w:tblPr>
      <w:tblGrid>
        <w:gridCol w:w="1833"/>
        <w:gridCol w:w="2220"/>
        <w:gridCol w:w="2221"/>
        <w:gridCol w:w="2221"/>
      </w:tblGrid>
      <w:tr w:rsidR="00324C81" w:rsidRPr="003721BA" w:rsidTr="00773DE9">
        <w:trPr>
          <w:trHeight w:val="2004"/>
          <w:jc w:val="center"/>
        </w:trPr>
        <w:tc>
          <w:tcPr>
            <w:tcW w:w="1833"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Wskaźnik</w:t>
            </w:r>
          </w:p>
        </w:tc>
        <w:tc>
          <w:tcPr>
            <w:tcW w:w="2220"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Skupienie 1</w:t>
            </w:r>
          </w:p>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szCs w:val="24"/>
                <w:lang w:eastAsia="pl-PL"/>
              </w:rPr>
              <w:t xml:space="preserve"> Gminy, które w najwyższym stopniu wykorzystują środki zwrotne w finansowaniu inwestycji</w:t>
            </w:r>
          </w:p>
        </w:tc>
        <w:tc>
          <w:tcPr>
            <w:tcW w:w="2221"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Skupienie 2</w:t>
            </w:r>
          </w:p>
          <w:p w:rsidR="00324C81" w:rsidRPr="003721BA" w:rsidRDefault="00324C81" w:rsidP="00773DE9">
            <w:pPr>
              <w:spacing w:after="0" w:line="240" w:lineRule="auto"/>
              <w:jc w:val="center"/>
              <w:rPr>
                <w:b/>
              </w:rPr>
            </w:pPr>
            <w:r w:rsidRPr="003721BA">
              <w:rPr>
                <w:rFonts w:ascii="Times New Roman" w:hAnsi="Times New Roman"/>
                <w:szCs w:val="24"/>
                <w:lang w:eastAsia="pl-PL"/>
              </w:rPr>
              <w:t>Gminy, które w średnim stopniu wykorzystują środki zwrotne w finansowaniu inwestycji</w:t>
            </w:r>
          </w:p>
        </w:tc>
        <w:tc>
          <w:tcPr>
            <w:tcW w:w="2221"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b/>
                <w:szCs w:val="24"/>
                <w:lang w:eastAsia="pl-PL"/>
              </w:rPr>
            </w:pPr>
            <w:r w:rsidRPr="003721BA">
              <w:rPr>
                <w:rFonts w:ascii="Times New Roman" w:hAnsi="Times New Roman"/>
                <w:b/>
                <w:szCs w:val="24"/>
                <w:lang w:eastAsia="pl-PL"/>
              </w:rPr>
              <w:t>Skupienie 3</w:t>
            </w:r>
          </w:p>
          <w:p w:rsidR="00324C81" w:rsidRPr="003721BA" w:rsidRDefault="00324C81" w:rsidP="00773DE9">
            <w:pPr>
              <w:spacing w:after="0" w:line="240" w:lineRule="auto"/>
              <w:jc w:val="center"/>
              <w:rPr>
                <w:b/>
              </w:rPr>
            </w:pPr>
            <w:r w:rsidRPr="003721BA">
              <w:rPr>
                <w:rFonts w:ascii="Times New Roman" w:hAnsi="Times New Roman"/>
                <w:szCs w:val="24"/>
                <w:lang w:eastAsia="pl-PL"/>
              </w:rPr>
              <w:t>Gminy, które w najmniejszym stopniu wykorzystują środki zwrotne w finansowaniu inwestycji</w:t>
            </w:r>
          </w:p>
        </w:tc>
      </w:tr>
      <w:tr w:rsidR="00324C81" w:rsidRPr="003721BA" w:rsidTr="00773DE9">
        <w:trPr>
          <w:trHeight w:val="404"/>
          <w:jc w:val="center"/>
        </w:trPr>
        <w:tc>
          <w:tcPr>
            <w:tcW w:w="1833" w:type="dxa"/>
            <w:shd w:val="clear" w:color="auto" w:fill="auto"/>
            <w:vAlign w:val="center"/>
          </w:tcPr>
          <w:p w:rsidR="00324C81" w:rsidRPr="003721BA" w:rsidRDefault="00324C81" w:rsidP="00773DE9">
            <w:pPr>
              <w:autoSpaceDE w:val="0"/>
              <w:autoSpaceDN w:val="0"/>
              <w:adjustRightInd w:val="0"/>
              <w:spacing w:after="0" w:line="240" w:lineRule="auto"/>
              <w:rPr>
                <w:rFonts w:ascii="Times New Roman" w:hAnsi="Times New Roman"/>
                <w:szCs w:val="24"/>
                <w:lang w:eastAsia="pl-PL"/>
              </w:rPr>
            </w:pPr>
            <w:r w:rsidRPr="003721BA">
              <w:rPr>
                <w:rFonts w:ascii="Times New Roman" w:hAnsi="Times New Roman"/>
                <w:szCs w:val="24"/>
                <w:lang w:eastAsia="pl-PL"/>
              </w:rPr>
              <w:t>Średnia</w:t>
            </w:r>
          </w:p>
        </w:tc>
        <w:tc>
          <w:tcPr>
            <w:tcW w:w="2220"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3 036 zł</w:t>
            </w:r>
          </w:p>
        </w:tc>
        <w:tc>
          <w:tcPr>
            <w:tcW w:w="2221"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3 481 zł</w:t>
            </w:r>
          </w:p>
        </w:tc>
        <w:tc>
          <w:tcPr>
            <w:tcW w:w="2221"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3 113 zł</w:t>
            </w:r>
          </w:p>
        </w:tc>
      </w:tr>
      <w:tr w:rsidR="00324C81" w:rsidRPr="003721BA" w:rsidTr="00773DE9">
        <w:trPr>
          <w:trHeight w:val="423"/>
          <w:jc w:val="center"/>
        </w:trPr>
        <w:tc>
          <w:tcPr>
            <w:tcW w:w="1833" w:type="dxa"/>
            <w:shd w:val="clear" w:color="auto" w:fill="auto"/>
            <w:vAlign w:val="center"/>
          </w:tcPr>
          <w:p w:rsidR="00324C81" w:rsidRPr="003721BA" w:rsidRDefault="00324C81" w:rsidP="00773DE9">
            <w:pPr>
              <w:autoSpaceDE w:val="0"/>
              <w:autoSpaceDN w:val="0"/>
              <w:adjustRightInd w:val="0"/>
              <w:spacing w:after="0" w:line="240" w:lineRule="auto"/>
              <w:rPr>
                <w:rFonts w:ascii="Times New Roman" w:hAnsi="Times New Roman"/>
                <w:szCs w:val="24"/>
                <w:lang w:eastAsia="pl-PL"/>
              </w:rPr>
            </w:pPr>
            <w:r w:rsidRPr="003721BA">
              <w:rPr>
                <w:rFonts w:ascii="Times New Roman" w:hAnsi="Times New Roman"/>
                <w:szCs w:val="24"/>
                <w:lang w:eastAsia="pl-PL"/>
              </w:rPr>
              <w:t>Mediana</w:t>
            </w:r>
          </w:p>
        </w:tc>
        <w:tc>
          <w:tcPr>
            <w:tcW w:w="2220"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 xml:space="preserve"> 3 066 zł</w:t>
            </w:r>
          </w:p>
        </w:tc>
        <w:tc>
          <w:tcPr>
            <w:tcW w:w="2221"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3 358 zł</w:t>
            </w:r>
          </w:p>
        </w:tc>
        <w:tc>
          <w:tcPr>
            <w:tcW w:w="2221" w:type="dxa"/>
            <w:shd w:val="clear" w:color="auto" w:fill="auto"/>
            <w:vAlign w:val="center"/>
          </w:tcPr>
          <w:p w:rsidR="00324C81" w:rsidRPr="003721BA" w:rsidRDefault="00324C81" w:rsidP="00773DE9">
            <w:pPr>
              <w:autoSpaceDE w:val="0"/>
              <w:autoSpaceDN w:val="0"/>
              <w:adjustRightInd w:val="0"/>
              <w:spacing w:after="0" w:line="240" w:lineRule="auto"/>
              <w:jc w:val="center"/>
              <w:rPr>
                <w:rFonts w:ascii="Times New Roman" w:hAnsi="Times New Roman"/>
                <w:szCs w:val="24"/>
                <w:lang w:eastAsia="pl-PL"/>
              </w:rPr>
            </w:pPr>
            <w:r w:rsidRPr="003721BA">
              <w:rPr>
                <w:rFonts w:ascii="Times New Roman" w:hAnsi="Times New Roman"/>
                <w:szCs w:val="24"/>
                <w:lang w:eastAsia="pl-PL"/>
              </w:rPr>
              <w:t xml:space="preserve"> 2 986 zł</w:t>
            </w:r>
          </w:p>
        </w:tc>
      </w:tr>
    </w:tbl>
    <w:p w:rsidR="00324C81" w:rsidRPr="004F3B1F" w:rsidRDefault="00324C81" w:rsidP="00324C81">
      <w:pPr>
        <w:autoSpaceDE w:val="0"/>
        <w:autoSpaceDN w:val="0"/>
        <w:adjustRightInd w:val="0"/>
        <w:spacing w:after="0" w:line="240" w:lineRule="auto"/>
        <w:rPr>
          <w:rFonts w:ascii="Times New Roman" w:hAnsi="Times New Roman"/>
          <w:color w:val="FF0000"/>
          <w:sz w:val="10"/>
          <w:szCs w:val="10"/>
          <w:lang w:eastAsia="pl-PL"/>
        </w:rPr>
      </w:pPr>
    </w:p>
    <w:p w:rsidR="00324C81" w:rsidRPr="00817F4E" w:rsidRDefault="00324C81" w:rsidP="00324C81">
      <w:pPr>
        <w:autoSpaceDE w:val="0"/>
        <w:autoSpaceDN w:val="0"/>
        <w:adjustRightInd w:val="0"/>
        <w:spacing w:after="0" w:line="240" w:lineRule="auto"/>
        <w:rPr>
          <w:rFonts w:ascii="Times New Roman" w:hAnsi="Times New Roman"/>
          <w:sz w:val="20"/>
          <w:szCs w:val="20"/>
        </w:rPr>
      </w:pPr>
      <w:r w:rsidRPr="00817F4E">
        <w:rPr>
          <w:rFonts w:ascii="Times New Roman" w:hAnsi="Times New Roman"/>
          <w:sz w:val="20"/>
          <w:szCs w:val="20"/>
        </w:rPr>
        <w:lastRenderedPageBreak/>
        <w:t xml:space="preserve">Źródło: opracowanie własne na podstawie </w:t>
      </w:r>
      <w:r>
        <w:rPr>
          <w:rFonts w:ascii="Times New Roman" w:hAnsi="Times New Roman"/>
          <w:sz w:val="20"/>
          <w:szCs w:val="20"/>
        </w:rPr>
        <w:t>dany</w:t>
      </w:r>
      <w:r w:rsidRPr="00817F4E">
        <w:rPr>
          <w:rFonts w:ascii="Times New Roman" w:hAnsi="Times New Roman"/>
          <w:sz w:val="20"/>
          <w:szCs w:val="20"/>
        </w:rPr>
        <w:t xml:space="preserve">ch Głównego Urzędu Statystycznego. </w:t>
      </w:r>
    </w:p>
    <w:p w:rsidR="00324C81" w:rsidRPr="003721BA" w:rsidRDefault="00324C81" w:rsidP="00324C81">
      <w:pPr>
        <w:autoSpaceDE w:val="0"/>
        <w:autoSpaceDN w:val="0"/>
        <w:adjustRightInd w:val="0"/>
        <w:spacing w:after="0" w:line="360" w:lineRule="auto"/>
        <w:jc w:val="center"/>
        <w:rPr>
          <w:rFonts w:ascii="Times New Roman" w:hAnsi="Times New Roman"/>
          <w:b/>
          <w:sz w:val="24"/>
          <w:szCs w:val="24"/>
          <w:lang w:eastAsia="pl-PL"/>
        </w:rPr>
      </w:pPr>
    </w:p>
    <w:p w:rsidR="00324C81" w:rsidRPr="003721BA" w:rsidRDefault="00324C81" w:rsidP="00324C81">
      <w:pPr>
        <w:autoSpaceDE w:val="0"/>
        <w:autoSpaceDN w:val="0"/>
        <w:adjustRightInd w:val="0"/>
        <w:spacing w:after="0" w:line="360" w:lineRule="auto"/>
        <w:jc w:val="center"/>
        <w:rPr>
          <w:rFonts w:ascii="Times New Roman" w:hAnsi="Times New Roman"/>
          <w:b/>
          <w:sz w:val="24"/>
          <w:szCs w:val="24"/>
          <w:lang w:eastAsia="pl-PL"/>
        </w:rPr>
      </w:pPr>
      <w:r w:rsidRPr="003721BA">
        <w:rPr>
          <w:rFonts w:ascii="Times New Roman" w:hAnsi="Times New Roman"/>
          <w:b/>
          <w:sz w:val="24"/>
          <w:szCs w:val="24"/>
          <w:lang w:eastAsia="pl-PL"/>
        </w:rPr>
        <w:t>Tabela 7. Wyniki analizy regresji prostej lin</w:t>
      </w:r>
      <w:r>
        <w:rPr>
          <w:rFonts w:ascii="Times New Roman" w:hAnsi="Times New Roman"/>
          <w:b/>
          <w:sz w:val="24"/>
          <w:szCs w:val="24"/>
          <w:lang w:eastAsia="pl-PL"/>
        </w:rPr>
        <w:t>iowej</w:t>
      </w:r>
    </w:p>
    <w:tbl>
      <w:tblPr>
        <w:tblW w:w="3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28" w:type="dxa"/>
          <w:left w:w="28" w:type="dxa"/>
          <w:bottom w:w="28" w:type="dxa"/>
          <w:right w:w="28" w:type="dxa"/>
        </w:tblCellMar>
        <w:tblLook w:val="04A0"/>
      </w:tblPr>
      <w:tblGrid>
        <w:gridCol w:w="1666"/>
        <w:gridCol w:w="989"/>
        <w:gridCol w:w="2805"/>
        <w:gridCol w:w="1088"/>
      </w:tblGrid>
      <w:tr w:rsidR="00324C81" w:rsidRPr="003721BA" w:rsidTr="00773DE9">
        <w:trPr>
          <w:jc w:val="center"/>
        </w:trPr>
        <w:tc>
          <w:tcPr>
            <w:tcW w:w="1272" w:type="pct"/>
            <w:shd w:val="clear" w:color="auto" w:fill="FFFFFF" w:themeFill="background1"/>
            <w:vAlign w:val="center"/>
            <w:hideMark/>
          </w:tcPr>
          <w:p w:rsidR="00324C81" w:rsidRPr="004F3B1F" w:rsidRDefault="00324C81" w:rsidP="00773DE9">
            <w:pPr>
              <w:spacing w:after="0" w:line="240" w:lineRule="auto"/>
              <w:jc w:val="center"/>
              <w:rPr>
                <w:rFonts w:ascii="Times New Roman" w:hAnsi="Times New Roman"/>
                <w:b/>
                <w:sz w:val="24"/>
                <w:szCs w:val="24"/>
              </w:rPr>
            </w:pPr>
            <w:r w:rsidRPr="004F3B1F">
              <w:rPr>
                <w:rFonts w:ascii="Times New Roman" w:hAnsi="Times New Roman"/>
                <w:b/>
                <w:sz w:val="24"/>
                <w:szCs w:val="24"/>
              </w:rPr>
              <w:t>Statystyka</w:t>
            </w:r>
          </w:p>
        </w:tc>
        <w:tc>
          <w:tcPr>
            <w:tcW w:w="755" w:type="pct"/>
            <w:shd w:val="clear" w:color="auto" w:fill="FFFFFF" w:themeFill="background1"/>
            <w:noWrap/>
            <w:vAlign w:val="center"/>
            <w:hideMark/>
          </w:tcPr>
          <w:tbl>
            <w:tblPr>
              <w:tblW w:w="5000" w:type="pct"/>
              <w:tblCellMar>
                <w:top w:w="15" w:type="dxa"/>
                <w:left w:w="15" w:type="dxa"/>
                <w:bottom w:w="15" w:type="dxa"/>
                <w:right w:w="15" w:type="dxa"/>
              </w:tblCellMar>
              <w:tblLook w:val="04A0"/>
            </w:tblPr>
            <w:tblGrid>
              <w:gridCol w:w="897"/>
              <w:gridCol w:w="36"/>
            </w:tblGrid>
            <w:tr w:rsidR="00324C81" w:rsidRPr="004F3B1F" w:rsidTr="00773DE9">
              <w:tc>
                <w:tcPr>
                  <w:tcW w:w="4667" w:type="pct"/>
                  <w:tcBorders>
                    <w:top w:val="nil"/>
                    <w:left w:val="nil"/>
                    <w:bottom w:val="nil"/>
                    <w:right w:val="nil"/>
                  </w:tcBorders>
                  <w:noWrap/>
                  <w:hideMark/>
                </w:tcPr>
                <w:p w:rsidR="00324C81" w:rsidRPr="004F3B1F" w:rsidRDefault="00324C81" w:rsidP="00773DE9">
                  <w:pPr>
                    <w:spacing w:after="0" w:line="240" w:lineRule="auto"/>
                    <w:jc w:val="center"/>
                    <w:rPr>
                      <w:rFonts w:ascii="Times New Roman" w:hAnsi="Times New Roman"/>
                      <w:b/>
                      <w:sz w:val="24"/>
                      <w:szCs w:val="24"/>
                    </w:rPr>
                  </w:pPr>
                  <w:r w:rsidRPr="004F3B1F">
                    <w:rPr>
                      <w:rFonts w:ascii="Times New Roman" w:hAnsi="Times New Roman"/>
                      <w:b/>
                      <w:sz w:val="24"/>
                      <w:szCs w:val="24"/>
                    </w:rPr>
                    <w:t>Wartość</w:t>
                  </w:r>
                </w:p>
              </w:tc>
              <w:tc>
                <w:tcPr>
                  <w:tcW w:w="333" w:type="pct"/>
                  <w:tcBorders>
                    <w:top w:val="nil"/>
                    <w:left w:val="nil"/>
                    <w:bottom w:val="nil"/>
                    <w:right w:val="nil"/>
                  </w:tcBorders>
                </w:tcPr>
                <w:p w:rsidR="00324C81" w:rsidRPr="004F3B1F" w:rsidRDefault="00324C81" w:rsidP="00773DE9">
                  <w:pPr>
                    <w:spacing w:after="0" w:line="240" w:lineRule="auto"/>
                    <w:jc w:val="center"/>
                    <w:rPr>
                      <w:rFonts w:ascii="Times New Roman" w:hAnsi="Times New Roman"/>
                      <w:b/>
                      <w:sz w:val="24"/>
                      <w:szCs w:val="24"/>
                    </w:rPr>
                  </w:pPr>
                </w:p>
              </w:tc>
            </w:tr>
          </w:tbl>
          <w:p w:rsidR="00324C81" w:rsidRPr="004F3B1F" w:rsidRDefault="00324C81" w:rsidP="00773DE9">
            <w:pPr>
              <w:spacing w:after="0" w:line="240" w:lineRule="auto"/>
              <w:jc w:val="center"/>
              <w:rPr>
                <w:rFonts w:ascii="Times New Roman" w:hAnsi="Times New Roman"/>
                <w:b/>
                <w:sz w:val="24"/>
                <w:szCs w:val="24"/>
              </w:rPr>
            </w:pPr>
          </w:p>
        </w:tc>
        <w:tc>
          <w:tcPr>
            <w:tcW w:w="2142" w:type="pct"/>
            <w:shd w:val="clear" w:color="auto" w:fill="FFFFFF" w:themeFill="background1"/>
            <w:vAlign w:val="center"/>
          </w:tcPr>
          <w:p w:rsidR="00324C81" w:rsidRPr="004F3B1F" w:rsidRDefault="00324C81" w:rsidP="00773DE9">
            <w:pPr>
              <w:spacing w:after="0" w:line="240" w:lineRule="auto"/>
              <w:jc w:val="center"/>
              <w:rPr>
                <w:rFonts w:ascii="Times New Roman" w:hAnsi="Times New Roman"/>
                <w:b/>
                <w:sz w:val="24"/>
                <w:szCs w:val="24"/>
              </w:rPr>
            </w:pPr>
            <w:r w:rsidRPr="004F3B1F">
              <w:rPr>
                <w:rFonts w:ascii="Times New Roman" w:hAnsi="Times New Roman"/>
                <w:b/>
                <w:sz w:val="24"/>
                <w:szCs w:val="24"/>
              </w:rPr>
              <w:t>Statystyka</w:t>
            </w:r>
          </w:p>
        </w:tc>
        <w:tc>
          <w:tcPr>
            <w:tcW w:w="831" w:type="pct"/>
            <w:shd w:val="clear" w:color="auto" w:fill="FFFFFF" w:themeFill="background1"/>
            <w:vAlign w:val="center"/>
          </w:tcPr>
          <w:tbl>
            <w:tblPr>
              <w:tblW w:w="5000" w:type="pct"/>
              <w:tblCellMar>
                <w:top w:w="15" w:type="dxa"/>
                <w:left w:w="15" w:type="dxa"/>
                <w:bottom w:w="15" w:type="dxa"/>
                <w:right w:w="15" w:type="dxa"/>
              </w:tblCellMar>
              <w:tblLook w:val="04A0"/>
            </w:tblPr>
            <w:tblGrid>
              <w:gridCol w:w="963"/>
              <w:gridCol w:w="69"/>
            </w:tblGrid>
            <w:tr w:rsidR="00324C81" w:rsidRPr="004F3B1F" w:rsidTr="00773DE9">
              <w:tc>
                <w:tcPr>
                  <w:tcW w:w="4667" w:type="pct"/>
                  <w:tcBorders>
                    <w:top w:val="nil"/>
                    <w:left w:val="nil"/>
                    <w:bottom w:val="nil"/>
                    <w:right w:val="nil"/>
                  </w:tcBorders>
                  <w:noWrap/>
                  <w:hideMark/>
                </w:tcPr>
                <w:p w:rsidR="00324C81" w:rsidRPr="004F3B1F" w:rsidRDefault="00324C81" w:rsidP="00773DE9">
                  <w:pPr>
                    <w:spacing w:after="0" w:line="240" w:lineRule="auto"/>
                    <w:jc w:val="center"/>
                    <w:rPr>
                      <w:rFonts w:ascii="Times New Roman" w:hAnsi="Times New Roman"/>
                      <w:b/>
                      <w:sz w:val="24"/>
                      <w:szCs w:val="24"/>
                    </w:rPr>
                  </w:pPr>
                  <w:r w:rsidRPr="004F3B1F">
                    <w:rPr>
                      <w:rFonts w:ascii="Times New Roman" w:hAnsi="Times New Roman"/>
                      <w:b/>
                      <w:sz w:val="24"/>
                      <w:szCs w:val="24"/>
                    </w:rPr>
                    <w:t>Wartość</w:t>
                  </w:r>
                </w:p>
              </w:tc>
              <w:tc>
                <w:tcPr>
                  <w:tcW w:w="333" w:type="pct"/>
                  <w:tcBorders>
                    <w:top w:val="nil"/>
                    <w:left w:val="nil"/>
                    <w:bottom w:val="nil"/>
                    <w:right w:val="nil"/>
                  </w:tcBorders>
                </w:tcPr>
                <w:p w:rsidR="00324C81" w:rsidRPr="004F3B1F" w:rsidRDefault="00324C81" w:rsidP="00773DE9">
                  <w:pPr>
                    <w:spacing w:after="0" w:line="240" w:lineRule="auto"/>
                    <w:jc w:val="center"/>
                    <w:rPr>
                      <w:rFonts w:ascii="Times New Roman" w:hAnsi="Times New Roman"/>
                      <w:b/>
                      <w:sz w:val="24"/>
                      <w:szCs w:val="24"/>
                    </w:rPr>
                  </w:pPr>
                </w:p>
              </w:tc>
            </w:tr>
          </w:tbl>
          <w:p w:rsidR="00324C81" w:rsidRPr="004F3B1F" w:rsidRDefault="00324C81" w:rsidP="00773DE9">
            <w:pPr>
              <w:spacing w:after="0" w:line="240" w:lineRule="auto"/>
              <w:jc w:val="center"/>
              <w:rPr>
                <w:rFonts w:ascii="Times New Roman" w:hAnsi="Times New Roman"/>
                <w:b/>
                <w:sz w:val="24"/>
                <w:szCs w:val="24"/>
              </w:rPr>
            </w:pPr>
          </w:p>
        </w:tc>
      </w:tr>
      <w:tr w:rsidR="00324C81" w:rsidRPr="003721BA" w:rsidTr="00773DE9">
        <w:trPr>
          <w:jc w:val="center"/>
        </w:trPr>
        <w:tc>
          <w:tcPr>
            <w:tcW w:w="1272" w:type="pct"/>
            <w:shd w:val="clear" w:color="auto" w:fill="FFFFFF" w:themeFill="background1"/>
            <w:noWrap/>
            <w:vAlign w:val="center"/>
            <w:hideMark/>
          </w:tcPr>
          <w:tbl>
            <w:tblPr>
              <w:tblW w:w="5000" w:type="pct"/>
              <w:tblCellMar>
                <w:top w:w="15" w:type="dxa"/>
                <w:left w:w="15" w:type="dxa"/>
                <w:bottom w:w="15" w:type="dxa"/>
                <w:right w:w="15" w:type="dxa"/>
              </w:tblCellMar>
              <w:tblLook w:val="04A0"/>
            </w:tblPr>
            <w:tblGrid>
              <w:gridCol w:w="1610"/>
            </w:tblGrid>
            <w:tr w:rsidR="00324C81" w:rsidRPr="003721BA" w:rsidTr="00773DE9">
              <w:tc>
                <w:tcPr>
                  <w:tcW w:w="0" w:type="auto"/>
                  <w:tcBorders>
                    <w:top w:val="nil"/>
                    <w:left w:val="nil"/>
                    <w:bottom w:val="nil"/>
                    <w:right w:val="nil"/>
                  </w:tcBorders>
                  <w:noWrap/>
                  <w:vAlign w:val="center"/>
                  <w:hideMark/>
                </w:tcPr>
                <w:p w:rsidR="00324C81" w:rsidRPr="003721BA" w:rsidRDefault="00324C81" w:rsidP="00773DE9">
                  <w:pPr>
                    <w:spacing w:after="0" w:line="240" w:lineRule="auto"/>
                    <w:rPr>
                      <w:rFonts w:ascii="Times New Roman" w:hAnsi="Times New Roman"/>
                      <w:sz w:val="24"/>
                      <w:szCs w:val="24"/>
                    </w:rPr>
                  </w:pPr>
                  <w:r w:rsidRPr="003721BA">
                    <w:rPr>
                      <w:rFonts w:ascii="Times New Roman" w:hAnsi="Times New Roman"/>
                      <w:sz w:val="24"/>
                      <w:szCs w:val="24"/>
                    </w:rPr>
                    <w:t>R</w:t>
                  </w:r>
                </w:p>
              </w:tc>
            </w:tr>
          </w:tbl>
          <w:p w:rsidR="00324C81" w:rsidRPr="003721BA" w:rsidRDefault="00324C81" w:rsidP="00773DE9">
            <w:pPr>
              <w:spacing w:after="0" w:line="240" w:lineRule="auto"/>
              <w:rPr>
                <w:rFonts w:ascii="Times New Roman" w:hAnsi="Times New Roman"/>
                <w:sz w:val="24"/>
                <w:szCs w:val="24"/>
              </w:rPr>
            </w:pPr>
          </w:p>
        </w:tc>
        <w:tc>
          <w:tcPr>
            <w:tcW w:w="755" w:type="pct"/>
            <w:shd w:val="clear" w:color="auto" w:fill="FFFFFF" w:themeFill="background1"/>
            <w:noWrap/>
            <w:vAlign w:val="center"/>
            <w:hideMark/>
          </w:tcPr>
          <w:p w:rsidR="00324C81" w:rsidRPr="003721BA" w:rsidRDefault="00324C81" w:rsidP="00773DE9">
            <w:pPr>
              <w:spacing w:after="0" w:line="240" w:lineRule="auto"/>
              <w:jc w:val="center"/>
              <w:rPr>
                <w:rFonts w:ascii="Times New Roman" w:hAnsi="Times New Roman"/>
                <w:sz w:val="24"/>
                <w:szCs w:val="24"/>
              </w:rPr>
            </w:pPr>
            <w:r w:rsidRPr="003721BA">
              <w:rPr>
                <w:rFonts w:ascii="Times New Roman" w:hAnsi="Times New Roman"/>
                <w:sz w:val="24"/>
                <w:szCs w:val="24"/>
              </w:rPr>
              <w:t>0,416</w:t>
            </w:r>
          </w:p>
        </w:tc>
        <w:tc>
          <w:tcPr>
            <w:tcW w:w="2142" w:type="pct"/>
            <w:shd w:val="clear" w:color="auto" w:fill="FFFFFF" w:themeFill="background1"/>
            <w:vAlign w:val="center"/>
          </w:tcPr>
          <w:tbl>
            <w:tblPr>
              <w:tblW w:w="5000" w:type="pct"/>
              <w:tblCellMar>
                <w:top w:w="15" w:type="dxa"/>
                <w:left w:w="15" w:type="dxa"/>
                <w:bottom w:w="15" w:type="dxa"/>
                <w:right w:w="15" w:type="dxa"/>
              </w:tblCellMar>
              <w:tblLook w:val="04A0"/>
            </w:tblPr>
            <w:tblGrid>
              <w:gridCol w:w="2749"/>
            </w:tblGrid>
            <w:tr w:rsidR="00324C81" w:rsidRPr="003721BA" w:rsidTr="00773DE9">
              <w:tc>
                <w:tcPr>
                  <w:tcW w:w="0" w:type="auto"/>
                  <w:tcBorders>
                    <w:top w:val="nil"/>
                    <w:left w:val="nil"/>
                    <w:bottom w:val="nil"/>
                    <w:right w:val="nil"/>
                  </w:tcBorders>
                  <w:noWrap/>
                  <w:vAlign w:val="center"/>
                  <w:hideMark/>
                </w:tcPr>
                <w:p w:rsidR="00324C81" w:rsidRPr="003721BA" w:rsidRDefault="00324C81" w:rsidP="00773DE9">
                  <w:pPr>
                    <w:spacing w:after="0" w:line="240" w:lineRule="auto"/>
                    <w:rPr>
                      <w:rFonts w:ascii="Times New Roman" w:hAnsi="Times New Roman"/>
                      <w:sz w:val="24"/>
                      <w:szCs w:val="24"/>
                    </w:rPr>
                  </w:pPr>
                  <w:r w:rsidRPr="003721BA">
                    <w:rPr>
                      <w:rFonts w:ascii="Times New Roman" w:hAnsi="Times New Roman"/>
                      <w:sz w:val="24"/>
                      <w:szCs w:val="24"/>
                    </w:rPr>
                    <w:t>F (5,175)</w:t>
                  </w:r>
                </w:p>
              </w:tc>
            </w:tr>
          </w:tbl>
          <w:p w:rsidR="00324C81" w:rsidRPr="003721BA" w:rsidRDefault="00324C81" w:rsidP="00773DE9">
            <w:pPr>
              <w:spacing w:after="0" w:line="240" w:lineRule="auto"/>
              <w:rPr>
                <w:rFonts w:ascii="Times New Roman" w:hAnsi="Times New Roman"/>
                <w:sz w:val="24"/>
                <w:szCs w:val="24"/>
              </w:rPr>
            </w:pPr>
          </w:p>
        </w:tc>
        <w:tc>
          <w:tcPr>
            <w:tcW w:w="831" w:type="pct"/>
            <w:shd w:val="clear" w:color="auto" w:fill="FFFFFF" w:themeFill="background1"/>
            <w:vAlign w:val="center"/>
          </w:tcPr>
          <w:p w:rsidR="00324C81" w:rsidRPr="003721BA" w:rsidRDefault="00324C81" w:rsidP="00773DE9">
            <w:pPr>
              <w:spacing w:after="0" w:line="240" w:lineRule="auto"/>
              <w:jc w:val="center"/>
              <w:rPr>
                <w:rFonts w:ascii="Times New Roman" w:hAnsi="Times New Roman"/>
                <w:sz w:val="24"/>
                <w:szCs w:val="24"/>
              </w:rPr>
            </w:pPr>
            <w:r w:rsidRPr="003721BA">
              <w:rPr>
                <w:rFonts w:ascii="Times New Roman" w:hAnsi="Times New Roman"/>
                <w:sz w:val="24"/>
                <w:szCs w:val="24"/>
              </w:rPr>
              <w:t>37,60</w:t>
            </w:r>
          </w:p>
        </w:tc>
      </w:tr>
      <w:tr w:rsidR="00324C81" w:rsidRPr="003721BA" w:rsidTr="00773DE9">
        <w:trPr>
          <w:jc w:val="center"/>
        </w:trPr>
        <w:tc>
          <w:tcPr>
            <w:tcW w:w="1272" w:type="pct"/>
            <w:shd w:val="clear" w:color="auto" w:fill="FFFFFF" w:themeFill="background1"/>
            <w:noWrap/>
            <w:vAlign w:val="center"/>
            <w:hideMark/>
          </w:tcPr>
          <w:tbl>
            <w:tblPr>
              <w:tblW w:w="5000" w:type="pct"/>
              <w:tblCellMar>
                <w:top w:w="15" w:type="dxa"/>
                <w:left w:w="15" w:type="dxa"/>
                <w:bottom w:w="15" w:type="dxa"/>
                <w:right w:w="15" w:type="dxa"/>
              </w:tblCellMar>
              <w:tblLook w:val="04A0"/>
            </w:tblPr>
            <w:tblGrid>
              <w:gridCol w:w="1610"/>
            </w:tblGrid>
            <w:tr w:rsidR="00324C81" w:rsidRPr="003721BA" w:rsidTr="00773DE9">
              <w:tc>
                <w:tcPr>
                  <w:tcW w:w="0" w:type="auto"/>
                  <w:tcBorders>
                    <w:top w:val="nil"/>
                    <w:left w:val="nil"/>
                    <w:bottom w:val="nil"/>
                    <w:right w:val="nil"/>
                  </w:tcBorders>
                  <w:noWrap/>
                  <w:vAlign w:val="center"/>
                  <w:hideMark/>
                </w:tcPr>
                <w:p w:rsidR="00324C81" w:rsidRPr="003721BA" w:rsidRDefault="00324C81" w:rsidP="00773DE9">
                  <w:pPr>
                    <w:spacing w:after="0" w:line="240" w:lineRule="auto"/>
                    <w:rPr>
                      <w:rFonts w:ascii="Times New Roman" w:hAnsi="Times New Roman"/>
                      <w:sz w:val="24"/>
                      <w:szCs w:val="24"/>
                    </w:rPr>
                  </w:pPr>
                  <w:r w:rsidRPr="003721BA">
                    <w:rPr>
                      <w:rFonts w:ascii="Times New Roman" w:hAnsi="Times New Roman"/>
                      <w:sz w:val="24"/>
                      <w:szCs w:val="24"/>
                    </w:rPr>
                    <w:t>R</w:t>
                  </w:r>
                  <w:r w:rsidRPr="003721BA">
                    <w:rPr>
                      <w:rFonts w:ascii="Times New Roman" w:hAnsi="Times New Roman"/>
                      <w:sz w:val="24"/>
                      <w:szCs w:val="24"/>
                      <w:vertAlign w:val="superscript"/>
                    </w:rPr>
                    <w:t>2</w:t>
                  </w:r>
                </w:p>
              </w:tc>
            </w:tr>
          </w:tbl>
          <w:p w:rsidR="00324C81" w:rsidRPr="003721BA" w:rsidRDefault="00324C81" w:rsidP="00773DE9">
            <w:pPr>
              <w:spacing w:after="0" w:line="240" w:lineRule="auto"/>
              <w:rPr>
                <w:rFonts w:ascii="Times New Roman" w:hAnsi="Times New Roman"/>
                <w:sz w:val="24"/>
                <w:szCs w:val="24"/>
              </w:rPr>
            </w:pPr>
          </w:p>
        </w:tc>
        <w:tc>
          <w:tcPr>
            <w:tcW w:w="755" w:type="pct"/>
            <w:shd w:val="clear" w:color="auto" w:fill="FFFFFF" w:themeFill="background1"/>
            <w:noWrap/>
            <w:vAlign w:val="center"/>
            <w:hideMark/>
          </w:tcPr>
          <w:p w:rsidR="00324C81" w:rsidRPr="003721BA" w:rsidRDefault="00324C81" w:rsidP="00773DE9">
            <w:pPr>
              <w:spacing w:after="0" w:line="240" w:lineRule="auto"/>
              <w:jc w:val="center"/>
              <w:rPr>
                <w:rFonts w:ascii="Times New Roman" w:hAnsi="Times New Roman"/>
                <w:sz w:val="24"/>
                <w:szCs w:val="24"/>
              </w:rPr>
            </w:pPr>
            <w:r w:rsidRPr="003721BA">
              <w:rPr>
                <w:rFonts w:ascii="Times New Roman" w:hAnsi="Times New Roman"/>
                <w:sz w:val="24"/>
                <w:szCs w:val="24"/>
              </w:rPr>
              <w:t>0,173</w:t>
            </w:r>
          </w:p>
        </w:tc>
        <w:tc>
          <w:tcPr>
            <w:tcW w:w="2142" w:type="pct"/>
            <w:shd w:val="clear" w:color="auto" w:fill="FFFFFF" w:themeFill="background1"/>
            <w:vAlign w:val="center"/>
          </w:tcPr>
          <w:tbl>
            <w:tblPr>
              <w:tblW w:w="5000" w:type="pct"/>
              <w:tblCellMar>
                <w:top w:w="15" w:type="dxa"/>
                <w:left w:w="15" w:type="dxa"/>
                <w:bottom w:w="15" w:type="dxa"/>
                <w:right w:w="15" w:type="dxa"/>
              </w:tblCellMar>
              <w:tblLook w:val="04A0"/>
            </w:tblPr>
            <w:tblGrid>
              <w:gridCol w:w="2749"/>
            </w:tblGrid>
            <w:tr w:rsidR="00324C81" w:rsidRPr="003721BA" w:rsidTr="00773DE9">
              <w:tc>
                <w:tcPr>
                  <w:tcW w:w="0" w:type="auto"/>
                  <w:tcBorders>
                    <w:top w:val="nil"/>
                    <w:left w:val="nil"/>
                    <w:bottom w:val="nil"/>
                    <w:right w:val="nil"/>
                  </w:tcBorders>
                  <w:noWrap/>
                  <w:vAlign w:val="center"/>
                  <w:hideMark/>
                </w:tcPr>
                <w:p w:rsidR="00324C81" w:rsidRPr="003721BA" w:rsidRDefault="00324C81" w:rsidP="00773DE9">
                  <w:pPr>
                    <w:spacing w:after="0" w:line="240" w:lineRule="auto"/>
                    <w:rPr>
                      <w:rFonts w:ascii="Times New Roman" w:hAnsi="Times New Roman"/>
                      <w:sz w:val="24"/>
                      <w:szCs w:val="24"/>
                    </w:rPr>
                  </w:pPr>
                </w:p>
              </w:tc>
            </w:tr>
          </w:tbl>
          <w:p w:rsidR="00324C81" w:rsidRPr="003721BA" w:rsidRDefault="00324C81" w:rsidP="00773DE9">
            <w:pPr>
              <w:spacing w:after="0" w:line="240" w:lineRule="auto"/>
              <w:rPr>
                <w:rFonts w:ascii="Times New Roman" w:hAnsi="Times New Roman"/>
                <w:sz w:val="24"/>
                <w:szCs w:val="24"/>
              </w:rPr>
            </w:pPr>
            <w:r w:rsidRPr="003721BA">
              <w:rPr>
                <w:rFonts w:ascii="Times New Roman" w:hAnsi="Times New Roman"/>
                <w:sz w:val="24"/>
                <w:szCs w:val="24"/>
                <w:lang w:eastAsia="pl-PL"/>
              </w:rPr>
              <w:t>t (180)</w:t>
            </w:r>
          </w:p>
        </w:tc>
        <w:tc>
          <w:tcPr>
            <w:tcW w:w="831" w:type="pct"/>
            <w:shd w:val="clear" w:color="auto" w:fill="FFFFFF" w:themeFill="background1"/>
            <w:vAlign w:val="center"/>
          </w:tcPr>
          <w:p w:rsidR="00324C81" w:rsidRPr="003721BA" w:rsidRDefault="00324C81" w:rsidP="00773DE9">
            <w:pPr>
              <w:spacing w:after="0" w:line="240" w:lineRule="auto"/>
              <w:jc w:val="center"/>
              <w:rPr>
                <w:rFonts w:ascii="Times New Roman" w:hAnsi="Times New Roman"/>
                <w:sz w:val="24"/>
                <w:szCs w:val="24"/>
              </w:rPr>
            </w:pPr>
            <w:r w:rsidRPr="003721BA">
              <w:rPr>
                <w:rFonts w:ascii="Times New Roman" w:hAnsi="Times New Roman"/>
                <w:sz w:val="24"/>
                <w:szCs w:val="24"/>
                <w:lang w:eastAsia="pl-PL"/>
              </w:rPr>
              <w:t>6,13</w:t>
            </w:r>
          </w:p>
        </w:tc>
      </w:tr>
      <w:tr w:rsidR="00324C81" w:rsidRPr="003721BA" w:rsidTr="00773DE9">
        <w:trPr>
          <w:jc w:val="center"/>
        </w:trPr>
        <w:tc>
          <w:tcPr>
            <w:tcW w:w="1272" w:type="pct"/>
            <w:shd w:val="clear" w:color="auto" w:fill="FFFFFF" w:themeFill="background1"/>
            <w:noWrap/>
            <w:vAlign w:val="center"/>
            <w:hideMark/>
          </w:tcPr>
          <w:tbl>
            <w:tblPr>
              <w:tblW w:w="5000" w:type="pct"/>
              <w:tblCellMar>
                <w:top w:w="15" w:type="dxa"/>
                <w:left w:w="15" w:type="dxa"/>
                <w:bottom w:w="15" w:type="dxa"/>
                <w:right w:w="15" w:type="dxa"/>
              </w:tblCellMar>
              <w:tblLook w:val="04A0"/>
            </w:tblPr>
            <w:tblGrid>
              <w:gridCol w:w="1610"/>
            </w:tblGrid>
            <w:tr w:rsidR="00324C81" w:rsidRPr="003721BA" w:rsidTr="00773DE9">
              <w:tc>
                <w:tcPr>
                  <w:tcW w:w="0" w:type="auto"/>
                  <w:tcBorders>
                    <w:top w:val="nil"/>
                    <w:left w:val="nil"/>
                    <w:bottom w:val="nil"/>
                    <w:right w:val="nil"/>
                  </w:tcBorders>
                  <w:noWrap/>
                  <w:vAlign w:val="center"/>
                  <w:hideMark/>
                </w:tcPr>
                <w:p w:rsidR="00324C81" w:rsidRPr="003721BA" w:rsidRDefault="00324C81" w:rsidP="00773DE9">
                  <w:pPr>
                    <w:spacing w:after="0" w:line="240" w:lineRule="auto"/>
                    <w:rPr>
                      <w:rFonts w:ascii="Times New Roman" w:hAnsi="Times New Roman"/>
                      <w:sz w:val="24"/>
                      <w:szCs w:val="24"/>
                    </w:rPr>
                  </w:pPr>
                  <w:r w:rsidRPr="003721BA">
                    <w:rPr>
                      <w:rFonts w:ascii="Times New Roman" w:hAnsi="Times New Roman"/>
                      <w:sz w:val="24"/>
                      <w:szCs w:val="24"/>
                    </w:rPr>
                    <w:t>R</w:t>
                  </w:r>
                  <w:r w:rsidRPr="003721BA">
                    <w:rPr>
                      <w:rFonts w:ascii="Times New Roman" w:hAnsi="Times New Roman"/>
                      <w:sz w:val="24"/>
                      <w:szCs w:val="24"/>
                      <w:vertAlign w:val="superscript"/>
                    </w:rPr>
                    <w:t>2</w:t>
                  </w:r>
                  <w:r w:rsidRPr="003721BA">
                    <w:rPr>
                      <w:rFonts w:ascii="Times New Roman" w:hAnsi="Times New Roman"/>
                      <w:sz w:val="24"/>
                      <w:szCs w:val="24"/>
                    </w:rPr>
                    <w:t xml:space="preserve"> skorygowane</w:t>
                  </w:r>
                </w:p>
              </w:tc>
            </w:tr>
          </w:tbl>
          <w:p w:rsidR="00324C81" w:rsidRPr="003721BA" w:rsidRDefault="00324C81" w:rsidP="00773DE9">
            <w:pPr>
              <w:spacing w:after="0" w:line="240" w:lineRule="auto"/>
              <w:rPr>
                <w:rFonts w:ascii="Times New Roman" w:hAnsi="Times New Roman"/>
                <w:sz w:val="24"/>
                <w:szCs w:val="24"/>
              </w:rPr>
            </w:pPr>
          </w:p>
        </w:tc>
        <w:tc>
          <w:tcPr>
            <w:tcW w:w="755" w:type="pct"/>
            <w:shd w:val="clear" w:color="auto" w:fill="FFFFFF" w:themeFill="background1"/>
            <w:noWrap/>
            <w:vAlign w:val="center"/>
            <w:hideMark/>
          </w:tcPr>
          <w:p w:rsidR="00324C81" w:rsidRPr="003721BA" w:rsidRDefault="00324C81" w:rsidP="00773DE9">
            <w:pPr>
              <w:spacing w:after="0" w:line="240" w:lineRule="auto"/>
              <w:jc w:val="center"/>
              <w:rPr>
                <w:rFonts w:ascii="Times New Roman" w:hAnsi="Times New Roman"/>
                <w:sz w:val="24"/>
                <w:szCs w:val="24"/>
              </w:rPr>
            </w:pPr>
            <w:r w:rsidRPr="003721BA">
              <w:rPr>
                <w:rFonts w:ascii="Times New Roman" w:hAnsi="Times New Roman"/>
                <w:sz w:val="24"/>
                <w:szCs w:val="24"/>
              </w:rPr>
              <w:t>0,168</w:t>
            </w:r>
          </w:p>
        </w:tc>
        <w:tc>
          <w:tcPr>
            <w:tcW w:w="2142" w:type="pct"/>
            <w:shd w:val="clear" w:color="auto" w:fill="FFFFFF" w:themeFill="background1"/>
            <w:vAlign w:val="center"/>
          </w:tcPr>
          <w:tbl>
            <w:tblPr>
              <w:tblW w:w="5000" w:type="pct"/>
              <w:tblCellMar>
                <w:top w:w="15" w:type="dxa"/>
                <w:left w:w="15" w:type="dxa"/>
                <w:bottom w:w="15" w:type="dxa"/>
                <w:right w:w="15" w:type="dxa"/>
              </w:tblCellMar>
              <w:tblLook w:val="04A0"/>
            </w:tblPr>
            <w:tblGrid>
              <w:gridCol w:w="2749"/>
            </w:tblGrid>
            <w:tr w:rsidR="00324C81" w:rsidRPr="003721BA" w:rsidTr="00773DE9">
              <w:trPr>
                <w:trHeight w:val="334"/>
              </w:trPr>
              <w:tc>
                <w:tcPr>
                  <w:tcW w:w="0" w:type="auto"/>
                  <w:tcBorders>
                    <w:top w:val="nil"/>
                    <w:left w:val="nil"/>
                    <w:bottom w:val="nil"/>
                    <w:right w:val="nil"/>
                  </w:tcBorders>
                  <w:noWrap/>
                  <w:vAlign w:val="center"/>
                  <w:hideMark/>
                </w:tcPr>
                <w:p w:rsidR="00324C81" w:rsidRPr="003721BA" w:rsidRDefault="00324C81" w:rsidP="00773DE9">
                  <w:pPr>
                    <w:spacing w:after="0" w:line="240" w:lineRule="auto"/>
                    <w:rPr>
                      <w:rFonts w:ascii="Times New Roman" w:hAnsi="Times New Roman"/>
                      <w:sz w:val="24"/>
                      <w:szCs w:val="24"/>
                    </w:rPr>
                  </w:pPr>
                  <w:r w:rsidRPr="003721BA">
                    <w:rPr>
                      <w:rFonts w:ascii="Times New Roman" w:hAnsi="Times New Roman"/>
                      <w:sz w:val="24"/>
                      <w:szCs w:val="24"/>
                    </w:rPr>
                    <w:t>p</w:t>
                  </w:r>
                </w:p>
              </w:tc>
            </w:tr>
          </w:tbl>
          <w:p w:rsidR="00324C81" w:rsidRPr="003721BA" w:rsidRDefault="00324C81" w:rsidP="00773DE9">
            <w:pPr>
              <w:spacing w:after="0" w:line="240" w:lineRule="auto"/>
              <w:rPr>
                <w:rFonts w:ascii="Times New Roman" w:hAnsi="Times New Roman"/>
                <w:sz w:val="24"/>
                <w:szCs w:val="24"/>
              </w:rPr>
            </w:pPr>
          </w:p>
        </w:tc>
        <w:tc>
          <w:tcPr>
            <w:tcW w:w="831" w:type="pct"/>
            <w:shd w:val="clear" w:color="auto" w:fill="FFFFFF" w:themeFill="background1"/>
            <w:vAlign w:val="center"/>
          </w:tcPr>
          <w:p w:rsidR="00324C81" w:rsidRPr="003721BA" w:rsidRDefault="00324C81" w:rsidP="00773DE9">
            <w:pPr>
              <w:spacing w:after="0" w:line="240" w:lineRule="auto"/>
              <w:jc w:val="center"/>
              <w:rPr>
                <w:rFonts w:ascii="Times New Roman" w:hAnsi="Times New Roman"/>
                <w:sz w:val="24"/>
                <w:szCs w:val="24"/>
              </w:rPr>
            </w:pPr>
            <w:r w:rsidRPr="003721BA">
              <w:rPr>
                <w:rFonts w:ascii="Times New Roman" w:hAnsi="Times New Roman"/>
                <w:sz w:val="24"/>
                <w:szCs w:val="24"/>
              </w:rPr>
              <w:t>0,000</w:t>
            </w:r>
          </w:p>
        </w:tc>
      </w:tr>
      <w:tr w:rsidR="00324C81" w:rsidRPr="003721BA" w:rsidTr="00773DE9">
        <w:trPr>
          <w:jc w:val="center"/>
        </w:trPr>
        <w:tc>
          <w:tcPr>
            <w:tcW w:w="1272" w:type="pct"/>
            <w:shd w:val="clear" w:color="auto" w:fill="FFFFFF" w:themeFill="background1"/>
            <w:noWrap/>
            <w:vAlign w:val="center"/>
            <w:hideMark/>
          </w:tcPr>
          <w:p w:rsidR="00324C81" w:rsidRPr="003721BA" w:rsidRDefault="00324C81" w:rsidP="00773DE9">
            <w:pPr>
              <w:spacing w:after="0" w:line="240" w:lineRule="auto"/>
              <w:rPr>
                <w:rFonts w:ascii="Times New Roman" w:hAnsi="Times New Roman"/>
                <w:sz w:val="24"/>
                <w:szCs w:val="24"/>
              </w:rPr>
            </w:pPr>
          </w:p>
        </w:tc>
        <w:tc>
          <w:tcPr>
            <w:tcW w:w="755" w:type="pct"/>
            <w:shd w:val="clear" w:color="auto" w:fill="FFFFFF" w:themeFill="background1"/>
            <w:noWrap/>
            <w:vAlign w:val="center"/>
            <w:hideMark/>
          </w:tcPr>
          <w:p w:rsidR="00324C81" w:rsidRPr="003721BA" w:rsidRDefault="00324C81" w:rsidP="00773DE9">
            <w:pPr>
              <w:spacing w:after="0" w:line="240" w:lineRule="auto"/>
              <w:jc w:val="center"/>
              <w:rPr>
                <w:rFonts w:ascii="Times New Roman" w:hAnsi="Times New Roman"/>
                <w:sz w:val="24"/>
                <w:szCs w:val="24"/>
              </w:rPr>
            </w:pPr>
          </w:p>
        </w:tc>
        <w:tc>
          <w:tcPr>
            <w:tcW w:w="2142" w:type="pct"/>
            <w:shd w:val="clear" w:color="auto" w:fill="FFFFFF" w:themeFill="background1"/>
            <w:vAlign w:val="center"/>
          </w:tcPr>
          <w:p w:rsidR="00324C81" w:rsidRPr="003721BA" w:rsidRDefault="00324C81" w:rsidP="00773DE9">
            <w:pPr>
              <w:spacing w:after="0" w:line="240" w:lineRule="auto"/>
              <w:rPr>
                <w:rFonts w:ascii="Times New Roman" w:hAnsi="Times New Roman"/>
                <w:sz w:val="24"/>
                <w:szCs w:val="24"/>
              </w:rPr>
            </w:pPr>
            <w:r w:rsidRPr="003721BA">
              <w:rPr>
                <w:rFonts w:ascii="Times New Roman" w:hAnsi="Times New Roman"/>
                <w:sz w:val="24"/>
                <w:szCs w:val="24"/>
              </w:rPr>
              <w:t>Błąd standardowy estymacji</w:t>
            </w:r>
          </w:p>
        </w:tc>
        <w:tc>
          <w:tcPr>
            <w:tcW w:w="831" w:type="pct"/>
            <w:shd w:val="clear" w:color="auto" w:fill="FFFFFF" w:themeFill="background1"/>
            <w:vAlign w:val="center"/>
          </w:tcPr>
          <w:p w:rsidR="00324C81" w:rsidRPr="003721BA" w:rsidRDefault="00324C81" w:rsidP="00773DE9">
            <w:pPr>
              <w:spacing w:after="0" w:line="240" w:lineRule="auto"/>
              <w:jc w:val="center"/>
              <w:rPr>
                <w:rFonts w:ascii="Times New Roman" w:hAnsi="Times New Roman"/>
                <w:sz w:val="24"/>
                <w:szCs w:val="24"/>
              </w:rPr>
            </w:pPr>
            <w:r w:rsidRPr="003721BA">
              <w:rPr>
                <w:rFonts w:ascii="Times New Roman" w:hAnsi="Times New Roman"/>
                <w:sz w:val="24"/>
                <w:szCs w:val="24"/>
              </w:rPr>
              <w:t>0,118</w:t>
            </w:r>
          </w:p>
        </w:tc>
      </w:tr>
    </w:tbl>
    <w:p w:rsidR="00324C81" w:rsidRPr="003721BA" w:rsidRDefault="00324C81" w:rsidP="00324C81">
      <w:pPr>
        <w:autoSpaceDE w:val="0"/>
        <w:autoSpaceDN w:val="0"/>
        <w:adjustRightInd w:val="0"/>
        <w:spacing w:after="0" w:line="360" w:lineRule="auto"/>
        <w:jc w:val="both"/>
        <w:rPr>
          <w:rFonts w:ascii="Times New Roman" w:hAnsi="Times New Roman"/>
          <w:sz w:val="10"/>
          <w:szCs w:val="10"/>
        </w:rPr>
      </w:pPr>
    </w:p>
    <w:p w:rsidR="00324C81" w:rsidRPr="003721BA" w:rsidRDefault="00324C81" w:rsidP="00324C81">
      <w:pPr>
        <w:autoSpaceDE w:val="0"/>
        <w:autoSpaceDN w:val="0"/>
        <w:adjustRightInd w:val="0"/>
        <w:spacing w:after="0" w:line="360" w:lineRule="auto"/>
        <w:jc w:val="both"/>
        <w:rPr>
          <w:rFonts w:ascii="Times New Roman" w:hAnsi="Times New Roman"/>
          <w:sz w:val="20"/>
          <w:szCs w:val="20"/>
        </w:rPr>
      </w:pPr>
      <w:r w:rsidRPr="003721BA">
        <w:rPr>
          <w:rFonts w:ascii="Times New Roman" w:hAnsi="Times New Roman"/>
          <w:sz w:val="20"/>
          <w:szCs w:val="20"/>
        </w:rPr>
        <w:t>Źródło: opracowanie własne na podstawie własnych obliczeń.</w:t>
      </w:r>
    </w:p>
    <w:p w:rsidR="00324C81" w:rsidRPr="00705F99" w:rsidRDefault="00324C81" w:rsidP="00324C81">
      <w:pPr>
        <w:autoSpaceDE w:val="0"/>
        <w:autoSpaceDN w:val="0"/>
        <w:adjustRightInd w:val="0"/>
        <w:spacing w:after="0" w:line="240" w:lineRule="auto"/>
        <w:ind w:left="426"/>
        <w:jc w:val="both"/>
        <w:rPr>
          <w:rFonts w:ascii="Times New Roman" w:hAnsi="Times New Roman"/>
          <w:sz w:val="24"/>
          <w:szCs w:val="24"/>
          <w:lang w:eastAsia="pl-PL"/>
        </w:rPr>
      </w:pPr>
    </w:p>
    <w:p w:rsidR="00324C81" w:rsidRPr="003721BA" w:rsidRDefault="00324C81" w:rsidP="00324C81">
      <w:pPr>
        <w:autoSpaceDE w:val="0"/>
        <w:autoSpaceDN w:val="0"/>
        <w:adjustRightInd w:val="0"/>
        <w:spacing w:after="0" w:line="240" w:lineRule="auto"/>
        <w:jc w:val="center"/>
        <w:rPr>
          <w:rFonts w:ascii="Times New Roman" w:hAnsi="Times New Roman"/>
          <w:szCs w:val="24"/>
        </w:rPr>
      </w:pPr>
      <w:r w:rsidRPr="003721BA">
        <w:rPr>
          <w:rFonts w:ascii="Times New Roman" w:hAnsi="Times New Roman"/>
        </w:rPr>
        <w:object w:dxaOrig="11393" w:dyaOrig="6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3.65pt;height:256.2pt" o:ole="">
            <v:imagedata r:id="rId8" o:title=""/>
          </v:shape>
          <o:OLEObject Type="Embed" ProgID="Visio.Drawing.11" ShapeID="_x0000_i1026" DrawAspect="Content" ObjectID="_1520347165" r:id="rId9"/>
        </w:object>
      </w:r>
    </w:p>
    <w:p w:rsidR="00324C81" w:rsidRPr="003721BA" w:rsidRDefault="00324C81" w:rsidP="00324C81">
      <w:pPr>
        <w:autoSpaceDE w:val="0"/>
        <w:autoSpaceDN w:val="0"/>
        <w:adjustRightInd w:val="0"/>
        <w:spacing w:after="0" w:line="240" w:lineRule="auto"/>
        <w:jc w:val="both"/>
        <w:rPr>
          <w:rStyle w:val="Pogrubienie"/>
        </w:rPr>
      </w:pPr>
    </w:p>
    <w:p w:rsidR="00324C81" w:rsidRPr="003721BA" w:rsidRDefault="00324C81" w:rsidP="00324C81">
      <w:pPr>
        <w:autoSpaceDE w:val="0"/>
        <w:autoSpaceDN w:val="0"/>
        <w:adjustRightInd w:val="0"/>
        <w:spacing w:after="0" w:line="240" w:lineRule="auto"/>
        <w:jc w:val="both"/>
        <w:rPr>
          <w:rStyle w:val="Pogrubienie"/>
        </w:rPr>
      </w:pPr>
      <w:r w:rsidRPr="003721BA">
        <w:rPr>
          <w:rStyle w:val="Pogrubienie"/>
        </w:rPr>
        <w:t>Schemat 1. Źródła finansowania inwestycji gmin</w:t>
      </w:r>
    </w:p>
    <w:p w:rsidR="00324C81" w:rsidRPr="003721BA" w:rsidRDefault="00324C81" w:rsidP="00324C81">
      <w:pPr>
        <w:autoSpaceDE w:val="0"/>
        <w:autoSpaceDN w:val="0"/>
        <w:adjustRightInd w:val="0"/>
        <w:spacing w:after="0" w:line="240" w:lineRule="auto"/>
        <w:jc w:val="both"/>
        <w:rPr>
          <w:rFonts w:ascii="Times New Roman" w:hAnsi="Times New Roman"/>
          <w:b/>
          <w:sz w:val="10"/>
          <w:szCs w:val="10"/>
        </w:rPr>
      </w:pPr>
    </w:p>
    <w:p w:rsidR="00324C81" w:rsidRPr="003721BA" w:rsidRDefault="00324C81" w:rsidP="00324C81">
      <w:pPr>
        <w:autoSpaceDE w:val="0"/>
        <w:autoSpaceDN w:val="0"/>
        <w:adjustRightInd w:val="0"/>
        <w:spacing w:after="0" w:line="240" w:lineRule="auto"/>
        <w:jc w:val="both"/>
        <w:rPr>
          <w:rFonts w:ascii="Times New Roman" w:hAnsi="Times New Roman"/>
          <w:sz w:val="20"/>
          <w:szCs w:val="20"/>
        </w:rPr>
      </w:pPr>
      <w:r w:rsidRPr="003721BA">
        <w:rPr>
          <w:rFonts w:ascii="Times New Roman" w:hAnsi="Times New Roman"/>
          <w:sz w:val="20"/>
          <w:szCs w:val="20"/>
        </w:rPr>
        <w:t xml:space="preserve">Źródło: Opracowanie własne na podstawie </w:t>
      </w:r>
      <w:r>
        <w:rPr>
          <w:rFonts w:ascii="Times New Roman" w:hAnsi="Times New Roman"/>
          <w:sz w:val="20"/>
          <w:szCs w:val="20"/>
        </w:rPr>
        <w:t>[</w:t>
      </w:r>
      <w:r w:rsidRPr="003721BA">
        <w:rPr>
          <w:rFonts w:ascii="Times New Roman" w:hAnsi="Times New Roman"/>
          <w:i/>
          <w:sz w:val="20"/>
          <w:szCs w:val="20"/>
        </w:rPr>
        <w:t>Bankowo-finansowa obsługa</w:t>
      </w:r>
      <w:r>
        <w:rPr>
          <w:rFonts w:ascii="Times New Roman" w:hAnsi="Times New Roman"/>
          <w:i/>
          <w:sz w:val="20"/>
          <w:szCs w:val="20"/>
        </w:rPr>
        <w:t>…</w:t>
      </w:r>
      <w:r w:rsidRPr="003721BA">
        <w:rPr>
          <w:rFonts w:ascii="Times New Roman" w:hAnsi="Times New Roman"/>
          <w:sz w:val="20"/>
          <w:szCs w:val="20"/>
        </w:rPr>
        <w:t xml:space="preserve"> 2008, s. 23</w:t>
      </w:r>
      <w:r>
        <w:rPr>
          <w:rFonts w:ascii="Times New Roman" w:hAnsi="Times New Roman"/>
          <w:sz w:val="20"/>
          <w:szCs w:val="20"/>
        </w:rPr>
        <w:t xml:space="preserve">; </w:t>
      </w:r>
      <w:proofErr w:type="spellStart"/>
      <w:r w:rsidRPr="003721BA">
        <w:rPr>
          <w:rFonts w:ascii="Times New Roman" w:hAnsi="Times New Roman"/>
          <w:sz w:val="20"/>
          <w:szCs w:val="20"/>
        </w:rPr>
        <w:t>Guziejewska</w:t>
      </w:r>
      <w:proofErr w:type="spellEnd"/>
      <w:r>
        <w:rPr>
          <w:rFonts w:ascii="Times New Roman" w:hAnsi="Times New Roman"/>
          <w:sz w:val="20"/>
          <w:szCs w:val="20"/>
        </w:rPr>
        <w:t xml:space="preserve"> </w:t>
      </w:r>
      <w:r w:rsidRPr="003721BA">
        <w:rPr>
          <w:rFonts w:ascii="Times New Roman" w:hAnsi="Times New Roman"/>
          <w:sz w:val="20"/>
          <w:szCs w:val="20"/>
        </w:rPr>
        <w:t>2008, s. 45-46</w:t>
      </w:r>
      <w:r>
        <w:rPr>
          <w:rFonts w:ascii="Times New Roman" w:hAnsi="Times New Roman"/>
          <w:sz w:val="20"/>
          <w:szCs w:val="20"/>
        </w:rPr>
        <w:t xml:space="preserve">; </w:t>
      </w:r>
      <w:r w:rsidRPr="003721BA">
        <w:rPr>
          <w:rFonts w:ascii="Times New Roman" w:hAnsi="Times New Roman"/>
          <w:sz w:val="20"/>
          <w:szCs w:val="20"/>
        </w:rPr>
        <w:t>Zioło 2012, s. 70-71</w:t>
      </w:r>
      <w:r>
        <w:rPr>
          <w:rFonts w:ascii="Times New Roman" w:hAnsi="Times New Roman"/>
          <w:sz w:val="20"/>
          <w:szCs w:val="20"/>
        </w:rPr>
        <w:t>]</w:t>
      </w:r>
      <w:r w:rsidRPr="003721BA">
        <w:rPr>
          <w:rFonts w:ascii="Times New Roman" w:hAnsi="Times New Roman"/>
          <w:sz w:val="20"/>
          <w:szCs w:val="20"/>
        </w:rPr>
        <w:t>.</w:t>
      </w:r>
    </w:p>
    <w:p w:rsidR="00324C81" w:rsidRPr="003721BA" w:rsidRDefault="00324C81" w:rsidP="00324C81">
      <w:pPr>
        <w:spacing w:after="0" w:line="240" w:lineRule="auto"/>
        <w:rPr>
          <w:rFonts w:ascii="Times New Roman" w:hAnsi="Times New Roman"/>
          <w:sz w:val="20"/>
          <w:szCs w:val="20"/>
        </w:rPr>
      </w:pPr>
    </w:p>
    <w:p w:rsidR="00324C81" w:rsidRPr="003721BA" w:rsidRDefault="00324C81" w:rsidP="00324C81">
      <w:pPr>
        <w:spacing w:after="0" w:line="240" w:lineRule="auto"/>
        <w:rPr>
          <w:rFonts w:ascii="Times New Roman" w:hAnsi="Times New Roman"/>
          <w:sz w:val="24"/>
          <w:szCs w:val="24"/>
        </w:rPr>
      </w:pPr>
    </w:p>
    <w:p w:rsidR="00324C81" w:rsidRDefault="00324C81" w:rsidP="00324C81">
      <w:pPr>
        <w:pStyle w:val="Default"/>
        <w:spacing w:line="360" w:lineRule="auto"/>
        <w:jc w:val="both"/>
      </w:pPr>
      <w:r>
        <w:object w:dxaOrig="8461" w:dyaOrig="6346">
          <v:shape id="_x0000_i1025" type="#_x0000_t75" style="width:422.8pt;height:317.3pt" o:ole="">
            <v:imagedata r:id="rId10" o:title=""/>
          </v:shape>
          <o:OLEObject Type="Embed" ProgID="STATISTICA.Graph" ShapeID="_x0000_i1025" DrawAspect="Content" ObjectID="_1520347166" r:id="rId11">
            <o:FieldCodes>\s</o:FieldCodes>
          </o:OLEObject>
        </w:object>
      </w:r>
    </w:p>
    <w:p w:rsidR="00324C81" w:rsidRPr="003721BA" w:rsidRDefault="00324C81" w:rsidP="00324C81">
      <w:pPr>
        <w:autoSpaceDE w:val="0"/>
        <w:autoSpaceDN w:val="0"/>
        <w:adjustRightInd w:val="0"/>
        <w:spacing w:after="0" w:line="240" w:lineRule="auto"/>
        <w:rPr>
          <w:rFonts w:ascii="Times New Roman" w:hAnsi="Times New Roman"/>
          <w:b/>
          <w:sz w:val="24"/>
          <w:szCs w:val="24"/>
        </w:rPr>
      </w:pPr>
      <w:r w:rsidRPr="003721BA">
        <w:rPr>
          <w:rFonts w:ascii="Times New Roman" w:hAnsi="Times New Roman"/>
          <w:b/>
          <w:sz w:val="24"/>
          <w:szCs w:val="24"/>
        </w:rPr>
        <w:t>Schemat 2. Grupowanie gmin województwa małopolskiego ze względu na wykorzystanie środków zwrotnych w finansowaniu inwestycji</w:t>
      </w:r>
    </w:p>
    <w:p w:rsidR="00324C81" w:rsidRPr="003721BA" w:rsidRDefault="00324C81" w:rsidP="00324C81">
      <w:pPr>
        <w:autoSpaceDE w:val="0"/>
        <w:autoSpaceDN w:val="0"/>
        <w:adjustRightInd w:val="0"/>
        <w:spacing w:after="0" w:line="240" w:lineRule="auto"/>
        <w:rPr>
          <w:rFonts w:ascii="Times New Roman" w:hAnsi="Times New Roman"/>
          <w:sz w:val="10"/>
          <w:szCs w:val="10"/>
        </w:rPr>
      </w:pPr>
    </w:p>
    <w:p w:rsidR="00324C81" w:rsidRPr="003721BA" w:rsidRDefault="00324C81" w:rsidP="00324C81">
      <w:pPr>
        <w:autoSpaceDE w:val="0"/>
        <w:autoSpaceDN w:val="0"/>
        <w:adjustRightInd w:val="0"/>
        <w:spacing w:after="0" w:line="240" w:lineRule="auto"/>
        <w:rPr>
          <w:rFonts w:ascii="Times New Roman" w:hAnsi="Times New Roman"/>
          <w:sz w:val="20"/>
          <w:szCs w:val="20"/>
        </w:rPr>
      </w:pPr>
      <w:r w:rsidRPr="003721BA">
        <w:rPr>
          <w:rFonts w:ascii="Times New Roman" w:hAnsi="Times New Roman"/>
          <w:sz w:val="20"/>
          <w:szCs w:val="20"/>
        </w:rPr>
        <w:t>Źródło: opracowanie własne</w:t>
      </w:r>
      <w:r>
        <w:rPr>
          <w:rFonts w:ascii="Times New Roman" w:hAnsi="Times New Roman"/>
          <w:sz w:val="20"/>
          <w:szCs w:val="20"/>
        </w:rPr>
        <w:t>.</w:t>
      </w:r>
    </w:p>
    <w:p w:rsidR="00324C81" w:rsidRDefault="00324C81" w:rsidP="00324C81">
      <w:pPr>
        <w:autoSpaceDE w:val="0"/>
        <w:autoSpaceDN w:val="0"/>
        <w:adjustRightInd w:val="0"/>
        <w:spacing w:after="0" w:line="240" w:lineRule="auto"/>
        <w:rPr>
          <w:rFonts w:ascii="Times New Roman" w:hAnsi="Times New Roman"/>
        </w:rPr>
      </w:pPr>
    </w:p>
    <w:p w:rsidR="00324C81" w:rsidRPr="003721BA" w:rsidRDefault="00324C81" w:rsidP="00324C81">
      <w:pPr>
        <w:autoSpaceDE w:val="0"/>
        <w:autoSpaceDN w:val="0"/>
        <w:adjustRightInd w:val="0"/>
        <w:spacing w:after="0" w:line="240" w:lineRule="auto"/>
        <w:rPr>
          <w:rFonts w:ascii="Times New Roman" w:hAnsi="Times New Roman"/>
        </w:rPr>
      </w:pPr>
    </w:p>
    <w:p w:rsidR="00324C81" w:rsidRPr="003721BA" w:rsidRDefault="00324C81" w:rsidP="00324C81">
      <w:pPr>
        <w:autoSpaceDE w:val="0"/>
        <w:autoSpaceDN w:val="0"/>
        <w:adjustRightInd w:val="0"/>
        <w:spacing w:after="0" w:line="360" w:lineRule="auto"/>
        <w:jc w:val="both"/>
        <w:rPr>
          <w:rFonts w:ascii="Times New Roman" w:hAnsi="Times New Roman"/>
          <w:sz w:val="24"/>
          <w:szCs w:val="24"/>
        </w:rPr>
      </w:pPr>
      <w:r w:rsidRPr="003721BA">
        <w:rPr>
          <w:rFonts w:ascii="Times New Roman" w:hAnsi="Times New Roman"/>
          <w:noProof/>
          <w:sz w:val="24"/>
          <w:szCs w:val="24"/>
          <w:lang w:eastAsia="pl-PL"/>
        </w:rPr>
        <w:drawing>
          <wp:inline distT="0" distB="0" distL="0" distR="0">
            <wp:extent cx="4726940" cy="3220982"/>
            <wp:effectExtent l="19050" t="0" r="0" b="0"/>
            <wp:docPr id="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4727843" cy="3221597"/>
                    </a:xfrm>
                    <a:prstGeom prst="rect">
                      <a:avLst/>
                    </a:prstGeom>
                    <a:noFill/>
                    <a:ln w="9525">
                      <a:noFill/>
                      <a:miter lim="800000"/>
                      <a:headEnd/>
                      <a:tailEnd/>
                    </a:ln>
                  </pic:spPr>
                </pic:pic>
              </a:graphicData>
            </a:graphic>
          </wp:inline>
        </w:drawing>
      </w:r>
    </w:p>
    <w:p w:rsidR="00324C81" w:rsidRPr="003721BA" w:rsidRDefault="00324C81" w:rsidP="00324C81">
      <w:pPr>
        <w:autoSpaceDE w:val="0"/>
        <w:autoSpaceDN w:val="0"/>
        <w:adjustRightInd w:val="0"/>
        <w:spacing w:after="0" w:line="240" w:lineRule="auto"/>
        <w:rPr>
          <w:rFonts w:ascii="Times New Roman" w:hAnsi="Times New Roman"/>
          <w:b/>
          <w:sz w:val="24"/>
          <w:szCs w:val="24"/>
        </w:rPr>
      </w:pPr>
      <w:r w:rsidRPr="003721BA">
        <w:rPr>
          <w:rFonts w:ascii="Times New Roman" w:hAnsi="Times New Roman"/>
          <w:b/>
          <w:sz w:val="24"/>
          <w:szCs w:val="24"/>
        </w:rPr>
        <w:t>Rysunek 1.  Przestrzenne zróżnicowanie województwa małopolskiego pod względem wykorzystania środków zwrotnych w finansowaniu inwestycji gmin</w:t>
      </w:r>
    </w:p>
    <w:p w:rsidR="00324C81" w:rsidRPr="003721BA" w:rsidRDefault="00324C81" w:rsidP="00324C81">
      <w:pPr>
        <w:autoSpaceDE w:val="0"/>
        <w:autoSpaceDN w:val="0"/>
        <w:adjustRightInd w:val="0"/>
        <w:spacing w:after="0" w:line="240" w:lineRule="auto"/>
        <w:rPr>
          <w:rFonts w:ascii="Times New Roman" w:hAnsi="Times New Roman"/>
          <w:sz w:val="10"/>
          <w:szCs w:val="10"/>
        </w:rPr>
      </w:pPr>
    </w:p>
    <w:p w:rsidR="00324C81" w:rsidRDefault="00324C81" w:rsidP="00324C81">
      <w:pPr>
        <w:autoSpaceDE w:val="0"/>
        <w:autoSpaceDN w:val="0"/>
        <w:adjustRightInd w:val="0"/>
        <w:spacing w:after="0" w:line="240" w:lineRule="auto"/>
      </w:pPr>
      <w:r w:rsidRPr="003721BA">
        <w:rPr>
          <w:rFonts w:ascii="Times New Roman" w:hAnsi="Times New Roman"/>
          <w:sz w:val="20"/>
          <w:szCs w:val="20"/>
        </w:rPr>
        <w:t>Źródło: opracowanie własne</w:t>
      </w:r>
      <w:r>
        <w:rPr>
          <w:rFonts w:ascii="Times New Roman" w:hAnsi="Times New Roman"/>
          <w:sz w:val="20"/>
          <w:szCs w:val="20"/>
        </w:rPr>
        <w:t>.</w:t>
      </w:r>
    </w:p>
    <w:sectPr w:rsidR="00324C81" w:rsidSect="004070F5">
      <w:footerReference w:type="default" r:id="rId13"/>
      <w:pgSz w:w="11906" w:h="16838"/>
      <w:pgMar w:top="1417" w:right="1417" w:bottom="1417"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9E8" w:rsidRDefault="007059E8" w:rsidP="00324C81">
      <w:pPr>
        <w:spacing w:after="0" w:line="240" w:lineRule="auto"/>
      </w:pPr>
      <w:r>
        <w:separator/>
      </w:r>
    </w:p>
  </w:endnote>
  <w:endnote w:type="continuationSeparator" w:id="0">
    <w:p w:rsidR="007059E8" w:rsidRDefault="007059E8" w:rsidP="00324C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2687"/>
      <w:docPartObj>
        <w:docPartGallery w:val="Page Numbers (Bottom of Page)"/>
        <w:docPartUnique/>
      </w:docPartObj>
    </w:sdtPr>
    <w:sdtEndPr/>
    <w:sdtContent>
      <w:p w:rsidR="00820244" w:rsidRDefault="007059E8">
        <w:pPr>
          <w:pStyle w:val="Stopka"/>
          <w:jc w:val="right"/>
        </w:pPr>
        <w:r w:rsidRPr="00B64249">
          <w:rPr>
            <w:rFonts w:ascii="Times New Roman" w:hAnsi="Times New Roman"/>
          </w:rPr>
          <w:fldChar w:fldCharType="begin"/>
        </w:r>
        <w:r w:rsidRPr="00B64249">
          <w:rPr>
            <w:rFonts w:ascii="Times New Roman" w:hAnsi="Times New Roman"/>
          </w:rPr>
          <w:instrText xml:space="preserve"> PAGE   \* MERGEFORMAT </w:instrText>
        </w:r>
        <w:r w:rsidRPr="00B64249">
          <w:rPr>
            <w:rFonts w:ascii="Times New Roman" w:hAnsi="Times New Roman"/>
          </w:rPr>
          <w:fldChar w:fldCharType="separate"/>
        </w:r>
        <w:r w:rsidR="00324C81">
          <w:rPr>
            <w:rFonts w:ascii="Times New Roman" w:hAnsi="Times New Roman"/>
            <w:noProof/>
          </w:rPr>
          <w:t>5</w:t>
        </w:r>
        <w:r w:rsidRPr="00B64249">
          <w:rPr>
            <w:rFonts w:ascii="Times New Roman" w:hAnsi="Times New Roman"/>
          </w:rPr>
          <w:fldChar w:fldCharType="end"/>
        </w:r>
      </w:p>
    </w:sdtContent>
  </w:sdt>
  <w:p w:rsidR="00820244" w:rsidRDefault="007059E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9E8" w:rsidRDefault="007059E8" w:rsidP="00324C81">
      <w:pPr>
        <w:spacing w:after="0" w:line="240" w:lineRule="auto"/>
      </w:pPr>
      <w:r>
        <w:separator/>
      </w:r>
    </w:p>
  </w:footnote>
  <w:footnote w:type="continuationSeparator" w:id="0">
    <w:p w:rsidR="007059E8" w:rsidRDefault="007059E8" w:rsidP="00324C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B17D5"/>
    <w:multiLevelType w:val="hybridMultilevel"/>
    <w:tmpl w:val="F7062D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5527BDF"/>
    <w:multiLevelType w:val="hybridMultilevel"/>
    <w:tmpl w:val="9F0AE8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F93639E"/>
    <w:multiLevelType w:val="hybridMultilevel"/>
    <w:tmpl w:val="FA2625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41B4083"/>
    <w:multiLevelType w:val="hybridMultilevel"/>
    <w:tmpl w:val="3C5ABCC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63F3BE8"/>
    <w:multiLevelType w:val="hybridMultilevel"/>
    <w:tmpl w:val="C6B22D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D692838"/>
    <w:multiLevelType w:val="hybridMultilevel"/>
    <w:tmpl w:val="CBD89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DDF51A1"/>
    <w:multiLevelType w:val="hybridMultilevel"/>
    <w:tmpl w:val="9CEE05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F056C19"/>
    <w:multiLevelType w:val="hybridMultilevel"/>
    <w:tmpl w:val="E9BEB5AA"/>
    <w:lvl w:ilvl="0" w:tplc="DA58F0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CC2D6F"/>
    <w:multiLevelType w:val="hybridMultilevel"/>
    <w:tmpl w:val="2526A6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83C660A"/>
    <w:multiLevelType w:val="hybridMultilevel"/>
    <w:tmpl w:val="B13E3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84C480D"/>
    <w:multiLevelType w:val="hybridMultilevel"/>
    <w:tmpl w:val="D39A44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9201BEF"/>
    <w:multiLevelType w:val="hybridMultilevel"/>
    <w:tmpl w:val="8E028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6E7328E"/>
    <w:multiLevelType w:val="hybridMultilevel"/>
    <w:tmpl w:val="462214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DA73C58"/>
    <w:multiLevelType w:val="hybridMultilevel"/>
    <w:tmpl w:val="34889D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3"/>
  </w:num>
  <w:num w:numId="3">
    <w:abstractNumId w:val="4"/>
  </w:num>
  <w:num w:numId="4">
    <w:abstractNumId w:val="10"/>
  </w:num>
  <w:num w:numId="5">
    <w:abstractNumId w:val="3"/>
  </w:num>
  <w:num w:numId="6">
    <w:abstractNumId w:val="7"/>
  </w:num>
  <w:num w:numId="7">
    <w:abstractNumId w:val="9"/>
  </w:num>
  <w:num w:numId="8">
    <w:abstractNumId w:val="12"/>
  </w:num>
  <w:num w:numId="9">
    <w:abstractNumId w:val="1"/>
  </w:num>
  <w:num w:numId="10">
    <w:abstractNumId w:val="11"/>
  </w:num>
  <w:num w:numId="11">
    <w:abstractNumId w:val="5"/>
  </w:num>
  <w:num w:numId="12">
    <w:abstractNumId w:val="6"/>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324C81"/>
    <w:rsid w:val="00232F4E"/>
    <w:rsid w:val="00324C81"/>
    <w:rsid w:val="0047090E"/>
    <w:rsid w:val="007059E8"/>
    <w:rsid w:val="00847007"/>
    <w:rsid w:val="00E558E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4C81"/>
    <w:pPr>
      <w:spacing w:after="200" w:line="276" w:lineRule="auto"/>
    </w:pPr>
    <w:rPr>
      <w:sz w:val="22"/>
      <w:szCs w:val="22"/>
      <w:lang w:eastAsia="en-US"/>
    </w:rPr>
  </w:style>
  <w:style w:type="paragraph" w:styleId="Nagwek1">
    <w:name w:val="heading 1"/>
    <w:basedOn w:val="Normalny"/>
    <w:next w:val="Normalny"/>
    <w:link w:val="Nagwek1Znak"/>
    <w:uiPriority w:val="9"/>
    <w:qFormat/>
    <w:rsid w:val="00E558E6"/>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unhideWhenUsed/>
    <w:qFormat/>
    <w:rsid w:val="00E558E6"/>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unhideWhenUsed/>
    <w:qFormat/>
    <w:rsid w:val="00E558E6"/>
    <w:pPr>
      <w:keepNext/>
      <w:spacing w:before="240" w:after="60"/>
      <w:outlineLvl w:val="2"/>
    </w:pPr>
    <w:rPr>
      <w:rFonts w:ascii="Times New Roman" w:eastAsia="Times New Roman" w:hAnsi="Times New Roman"/>
      <w:b/>
      <w:bCs/>
      <w:sz w:val="24"/>
      <w:szCs w:val="26"/>
    </w:rPr>
  </w:style>
  <w:style w:type="paragraph" w:styleId="Nagwek8">
    <w:name w:val="heading 8"/>
    <w:basedOn w:val="Normalny"/>
    <w:next w:val="Normalny"/>
    <w:link w:val="Nagwek8Znak"/>
    <w:uiPriority w:val="9"/>
    <w:semiHidden/>
    <w:unhideWhenUsed/>
    <w:qFormat/>
    <w:rsid w:val="00E558E6"/>
    <w:pPr>
      <w:spacing w:before="240" w:after="60"/>
      <w:outlineLvl w:val="7"/>
    </w:pPr>
    <w:rPr>
      <w:rFonts w:eastAsia="Times New Roman"/>
      <w:i/>
      <w:iCs/>
      <w:sz w:val="24"/>
      <w:szCs w:val="24"/>
    </w:rPr>
  </w:style>
  <w:style w:type="paragraph" w:styleId="Nagwek9">
    <w:name w:val="heading 9"/>
    <w:basedOn w:val="Normalny"/>
    <w:next w:val="Normalny"/>
    <w:link w:val="Nagwek9Znak"/>
    <w:uiPriority w:val="9"/>
    <w:semiHidden/>
    <w:unhideWhenUsed/>
    <w:qFormat/>
    <w:rsid w:val="00E558E6"/>
    <w:pPr>
      <w:spacing w:before="240" w:after="6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58E6"/>
    <w:rPr>
      <w:rFonts w:ascii="Cambria" w:eastAsia="Times New Roman" w:hAnsi="Cambria"/>
      <w:b/>
      <w:bCs/>
      <w:kern w:val="32"/>
      <w:sz w:val="32"/>
      <w:szCs w:val="32"/>
      <w:lang w:eastAsia="en-US"/>
    </w:rPr>
  </w:style>
  <w:style w:type="character" w:customStyle="1" w:styleId="Nagwek2Znak">
    <w:name w:val="Nagłówek 2 Znak"/>
    <w:basedOn w:val="Domylnaczcionkaakapitu"/>
    <w:link w:val="Nagwek2"/>
    <w:uiPriority w:val="9"/>
    <w:rsid w:val="00E558E6"/>
    <w:rPr>
      <w:rFonts w:ascii="Cambria" w:eastAsia="Times New Roman" w:hAnsi="Cambria"/>
      <w:b/>
      <w:bCs/>
      <w:i/>
      <w:iCs/>
      <w:sz w:val="28"/>
      <w:szCs w:val="28"/>
      <w:lang w:eastAsia="en-US"/>
    </w:rPr>
  </w:style>
  <w:style w:type="character" w:customStyle="1" w:styleId="Nagwek3Znak">
    <w:name w:val="Nagłówek 3 Znak"/>
    <w:basedOn w:val="Domylnaczcionkaakapitu"/>
    <w:link w:val="Nagwek3"/>
    <w:uiPriority w:val="9"/>
    <w:rsid w:val="00E558E6"/>
    <w:rPr>
      <w:rFonts w:ascii="Times New Roman" w:eastAsia="Times New Roman" w:hAnsi="Times New Roman"/>
      <w:b/>
      <w:bCs/>
      <w:sz w:val="24"/>
      <w:szCs w:val="26"/>
      <w:lang w:eastAsia="en-US"/>
    </w:rPr>
  </w:style>
  <w:style w:type="character" w:customStyle="1" w:styleId="Nagwek8Znak">
    <w:name w:val="Nagłówek 8 Znak"/>
    <w:basedOn w:val="Domylnaczcionkaakapitu"/>
    <w:link w:val="Nagwek8"/>
    <w:uiPriority w:val="9"/>
    <w:semiHidden/>
    <w:rsid w:val="00E558E6"/>
    <w:rPr>
      <w:rFonts w:ascii="Calibri" w:eastAsia="Times New Roman" w:hAnsi="Calibri" w:cs="Times New Roman"/>
      <w:i/>
      <w:iCs/>
      <w:sz w:val="24"/>
      <w:szCs w:val="24"/>
      <w:lang w:eastAsia="en-US"/>
    </w:rPr>
  </w:style>
  <w:style w:type="character" w:customStyle="1" w:styleId="Nagwek9Znak">
    <w:name w:val="Nagłówek 9 Znak"/>
    <w:basedOn w:val="Domylnaczcionkaakapitu"/>
    <w:link w:val="Nagwek9"/>
    <w:uiPriority w:val="9"/>
    <w:semiHidden/>
    <w:rsid w:val="00E558E6"/>
    <w:rPr>
      <w:rFonts w:ascii="Cambria" w:eastAsia="Times New Roman" w:hAnsi="Cambria" w:cs="Times New Roman"/>
      <w:sz w:val="22"/>
      <w:szCs w:val="22"/>
      <w:lang w:eastAsia="en-US"/>
    </w:rPr>
  </w:style>
  <w:style w:type="paragraph" w:styleId="Spistreci1">
    <w:name w:val="toc 1"/>
    <w:basedOn w:val="Normalny"/>
    <w:next w:val="Normalny"/>
    <w:autoRedefine/>
    <w:uiPriority w:val="39"/>
    <w:unhideWhenUsed/>
    <w:qFormat/>
    <w:rsid w:val="00E558E6"/>
  </w:style>
  <w:style w:type="paragraph" w:styleId="Spistreci2">
    <w:name w:val="toc 2"/>
    <w:basedOn w:val="Normalny"/>
    <w:next w:val="Normalny"/>
    <w:autoRedefine/>
    <w:uiPriority w:val="39"/>
    <w:unhideWhenUsed/>
    <w:qFormat/>
    <w:rsid w:val="00E558E6"/>
    <w:pPr>
      <w:ind w:left="220"/>
    </w:pPr>
  </w:style>
  <w:style w:type="paragraph" w:styleId="Spistreci3">
    <w:name w:val="toc 3"/>
    <w:basedOn w:val="Normalny"/>
    <w:next w:val="Normalny"/>
    <w:autoRedefine/>
    <w:uiPriority w:val="39"/>
    <w:unhideWhenUsed/>
    <w:qFormat/>
    <w:rsid w:val="00E558E6"/>
    <w:pPr>
      <w:spacing w:after="100"/>
      <w:ind w:left="440"/>
    </w:pPr>
    <w:rPr>
      <w:rFonts w:eastAsia="Times New Roman"/>
    </w:rPr>
  </w:style>
  <w:style w:type="character" w:styleId="Pogrubienie">
    <w:name w:val="Strong"/>
    <w:aliases w:val="Rysunek"/>
    <w:basedOn w:val="Domylnaczcionkaakapitu"/>
    <w:uiPriority w:val="22"/>
    <w:qFormat/>
    <w:rsid w:val="00E558E6"/>
    <w:rPr>
      <w:rFonts w:ascii="Times New Roman" w:hAnsi="Times New Roman"/>
      <w:b/>
      <w:bCs/>
      <w:sz w:val="24"/>
    </w:rPr>
  </w:style>
  <w:style w:type="paragraph" w:styleId="Akapitzlist">
    <w:name w:val="List Paragraph"/>
    <w:basedOn w:val="Normalny"/>
    <w:uiPriority w:val="34"/>
    <w:qFormat/>
    <w:rsid w:val="00E558E6"/>
    <w:pPr>
      <w:ind w:left="720"/>
      <w:contextualSpacing/>
    </w:pPr>
  </w:style>
  <w:style w:type="paragraph" w:styleId="Cytat">
    <w:name w:val="Quote"/>
    <w:aliases w:val="Tabela"/>
    <w:basedOn w:val="Normalny"/>
    <w:next w:val="Normalny"/>
    <w:link w:val="CytatZnak"/>
    <w:uiPriority w:val="29"/>
    <w:qFormat/>
    <w:rsid w:val="00E558E6"/>
    <w:pPr>
      <w:spacing w:after="0" w:line="240" w:lineRule="auto"/>
      <w:jc w:val="center"/>
    </w:pPr>
    <w:rPr>
      <w:rFonts w:ascii="Times New Roman" w:hAnsi="Times New Roman"/>
      <w:b/>
      <w:iCs/>
      <w:color w:val="000000"/>
      <w:sz w:val="24"/>
    </w:rPr>
  </w:style>
  <w:style w:type="character" w:customStyle="1" w:styleId="CytatZnak">
    <w:name w:val="Cytat Znak"/>
    <w:aliases w:val="Tabela Znak"/>
    <w:basedOn w:val="Domylnaczcionkaakapitu"/>
    <w:link w:val="Cytat"/>
    <w:uiPriority w:val="29"/>
    <w:rsid w:val="00E558E6"/>
    <w:rPr>
      <w:rFonts w:ascii="Times New Roman" w:hAnsi="Times New Roman"/>
      <w:b/>
      <w:iCs/>
      <w:color w:val="000000"/>
      <w:sz w:val="24"/>
      <w:szCs w:val="22"/>
      <w:lang w:eastAsia="en-US"/>
    </w:rPr>
  </w:style>
  <w:style w:type="paragraph" w:styleId="Nagwekspisutreci">
    <w:name w:val="TOC Heading"/>
    <w:basedOn w:val="Nagwek1"/>
    <w:next w:val="Normalny"/>
    <w:uiPriority w:val="39"/>
    <w:semiHidden/>
    <w:unhideWhenUsed/>
    <w:qFormat/>
    <w:rsid w:val="00E558E6"/>
    <w:pPr>
      <w:keepLines/>
      <w:spacing w:before="480" w:after="0"/>
      <w:outlineLvl w:val="9"/>
    </w:pPr>
    <w:rPr>
      <w:color w:val="365F91"/>
      <w:kern w:val="0"/>
      <w:sz w:val="28"/>
      <w:szCs w:val="28"/>
    </w:rPr>
  </w:style>
  <w:style w:type="paragraph" w:styleId="Tekstprzypisudolnego">
    <w:name w:val="footnote text"/>
    <w:basedOn w:val="Normalny"/>
    <w:link w:val="TekstprzypisudolnegoZnak"/>
    <w:uiPriority w:val="99"/>
    <w:unhideWhenUsed/>
    <w:rsid w:val="00324C8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24C81"/>
    <w:rPr>
      <w:lang w:eastAsia="en-US"/>
    </w:rPr>
  </w:style>
  <w:style w:type="character" w:styleId="Odwoanieprzypisudolnego">
    <w:name w:val="footnote reference"/>
    <w:basedOn w:val="Domylnaczcionkaakapitu"/>
    <w:uiPriority w:val="99"/>
    <w:semiHidden/>
    <w:unhideWhenUsed/>
    <w:rsid w:val="00324C81"/>
    <w:rPr>
      <w:vertAlign w:val="superscript"/>
    </w:rPr>
  </w:style>
  <w:style w:type="paragraph" w:customStyle="1" w:styleId="Default">
    <w:name w:val="Default"/>
    <w:rsid w:val="00324C81"/>
    <w:pPr>
      <w:autoSpaceDE w:val="0"/>
      <w:autoSpaceDN w:val="0"/>
      <w:adjustRightInd w:val="0"/>
    </w:pPr>
    <w:rPr>
      <w:rFonts w:ascii="Times New Roman" w:hAnsi="Times New Roman"/>
      <w:color w:val="000000"/>
      <w:sz w:val="24"/>
      <w:szCs w:val="24"/>
    </w:rPr>
  </w:style>
  <w:style w:type="paragraph" w:customStyle="1" w:styleId="Przypis">
    <w:name w:val="Przypis"/>
    <w:basedOn w:val="Tekstprzypisudolnego"/>
    <w:qFormat/>
    <w:rsid w:val="00324C81"/>
    <w:rPr>
      <w:rFonts w:ascii="Times New Roman" w:hAnsi="Times New Roman"/>
    </w:rPr>
  </w:style>
  <w:style w:type="paragraph" w:styleId="Tekstprzypisukocowego">
    <w:name w:val="endnote text"/>
    <w:basedOn w:val="Normalny"/>
    <w:link w:val="TekstprzypisukocowegoZnak"/>
    <w:uiPriority w:val="99"/>
    <w:semiHidden/>
    <w:unhideWhenUsed/>
    <w:rsid w:val="00324C8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24C81"/>
    <w:rPr>
      <w:lang w:eastAsia="en-US"/>
    </w:rPr>
  </w:style>
  <w:style w:type="character" w:styleId="Odwoanieprzypisukocowego">
    <w:name w:val="endnote reference"/>
    <w:basedOn w:val="Domylnaczcionkaakapitu"/>
    <w:uiPriority w:val="99"/>
    <w:semiHidden/>
    <w:unhideWhenUsed/>
    <w:rsid w:val="00324C81"/>
    <w:rPr>
      <w:vertAlign w:val="superscript"/>
    </w:rPr>
  </w:style>
  <w:style w:type="table" w:styleId="Tabela-Siatka">
    <w:name w:val="Table Grid"/>
    <w:basedOn w:val="Standardowy"/>
    <w:uiPriority w:val="59"/>
    <w:rsid w:val="00324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324C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24C81"/>
    <w:rPr>
      <w:rFonts w:ascii="Tahoma" w:hAnsi="Tahoma" w:cs="Tahoma"/>
      <w:sz w:val="16"/>
      <w:szCs w:val="16"/>
      <w:lang w:eastAsia="en-US"/>
    </w:rPr>
  </w:style>
  <w:style w:type="character" w:styleId="Hipercze">
    <w:name w:val="Hyperlink"/>
    <w:basedOn w:val="Domylnaczcionkaakapitu"/>
    <w:uiPriority w:val="99"/>
    <w:unhideWhenUsed/>
    <w:rsid w:val="00324C81"/>
    <w:rPr>
      <w:color w:val="0000FF" w:themeColor="hyperlink"/>
      <w:u w:val="single"/>
    </w:rPr>
  </w:style>
  <w:style w:type="paragraph" w:styleId="Nagwek">
    <w:name w:val="header"/>
    <w:basedOn w:val="Normalny"/>
    <w:link w:val="NagwekZnak"/>
    <w:uiPriority w:val="99"/>
    <w:semiHidden/>
    <w:unhideWhenUsed/>
    <w:rsid w:val="00324C8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24C81"/>
    <w:rPr>
      <w:sz w:val="22"/>
      <w:szCs w:val="22"/>
      <w:lang w:eastAsia="en-US"/>
    </w:rPr>
  </w:style>
  <w:style w:type="paragraph" w:styleId="Stopka">
    <w:name w:val="footer"/>
    <w:basedOn w:val="Normalny"/>
    <w:link w:val="StopkaZnak"/>
    <w:uiPriority w:val="99"/>
    <w:unhideWhenUsed/>
    <w:rsid w:val="00324C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4C81"/>
    <w:rPr>
      <w:sz w:val="22"/>
      <w:szCs w:val="22"/>
      <w:lang w:eastAsia="en-US"/>
    </w:rPr>
  </w:style>
  <w:style w:type="character" w:styleId="Odwoaniedokomentarza">
    <w:name w:val="annotation reference"/>
    <w:basedOn w:val="Domylnaczcionkaakapitu"/>
    <w:uiPriority w:val="99"/>
    <w:semiHidden/>
    <w:unhideWhenUsed/>
    <w:rsid w:val="00324C81"/>
    <w:rPr>
      <w:sz w:val="16"/>
      <w:szCs w:val="16"/>
    </w:rPr>
  </w:style>
  <w:style w:type="paragraph" w:styleId="Tekstkomentarza">
    <w:name w:val="annotation text"/>
    <w:basedOn w:val="Normalny"/>
    <w:link w:val="TekstkomentarzaZnak"/>
    <w:uiPriority w:val="99"/>
    <w:semiHidden/>
    <w:unhideWhenUsed/>
    <w:rsid w:val="00324C8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24C81"/>
    <w:rPr>
      <w:lang w:eastAsia="en-US"/>
    </w:rPr>
  </w:style>
  <w:style w:type="paragraph" w:styleId="Tematkomentarza">
    <w:name w:val="annotation subject"/>
    <w:basedOn w:val="Tekstkomentarza"/>
    <w:next w:val="Tekstkomentarza"/>
    <w:link w:val="TematkomentarzaZnak"/>
    <w:uiPriority w:val="99"/>
    <w:semiHidden/>
    <w:unhideWhenUsed/>
    <w:rsid w:val="00324C81"/>
    <w:rPr>
      <w:b/>
      <w:bCs/>
    </w:rPr>
  </w:style>
  <w:style w:type="character" w:customStyle="1" w:styleId="TematkomentarzaZnak">
    <w:name w:val="Temat komentarza Znak"/>
    <w:basedOn w:val="TekstkomentarzaZnak"/>
    <w:link w:val="Tematkomentarza"/>
    <w:uiPriority w:val="99"/>
    <w:semiHidden/>
    <w:rsid w:val="00324C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10110-1C7F-40FA-9EE7-5D0D42AC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1220</Words>
  <Characters>7325</Characters>
  <Application>Microsoft Office Word</Application>
  <DocSecurity>0</DocSecurity>
  <Lines>61</Lines>
  <Paragraphs>17</Paragraphs>
  <ScaleCrop>false</ScaleCrop>
  <Company/>
  <LinksUpToDate>false</LinksUpToDate>
  <CharactersWithSpaces>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Iwka</dc:creator>
  <cp:lastModifiedBy>Iwka</cp:lastModifiedBy>
  <cp:revision>1</cp:revision>
  <dcterms:created xsi:type="dcterms:W3CDTF">2016-03-24T16:45:00Z</dcterms:created>
  <dcterms:modified xsi:type="dcterms:W3CDTF">2016-03-24T16:53:00Z</dcterms:modified>
</cp:coreProperties>
</file>