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1387" w:rsidRDefault="00691387" w:rsidP="00A21B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92C" w:rsidRDefault="00691387" w:rsidP="007529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ru-RU" w:eastAsia="ru-RU"/>
        </w:rPr>
        <w:drawing>
          <wp:inline distT="0" distB="0" distL="0" distR="0" wp14:anchorId="03929217" wp14:editId="48E7FEB9">
            <wp:extent cx="5227320" cy="3703320"/>
            <wp:effectExtent l="0" t="0" r="11430" b="1143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F7EFFE44-5C02-4210-AAE7-AF89FF6A048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5292C" w:rsidRPr="0075292C" w:rsidRDefault="0075292C" w:rsidP="007529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292C">
        <w:rPr>
          <w:rFonts w:ascii="Times New Roman" w:hAnsi="Times New Roman" w:cs="Times New Roman"/>
          <w:sz w:val="20"/>
          <w:szCs w:val="20"/>
        </w:rPr>
        <w:t>Rys. 1.</w:t>
      </w:r>
      <w:r w:rsidRPr="0075292C">
        <w:rPr>
          <w:rFonts w:ascii="Times New Roman" w:eastAsiaTheme="minorEastAsia" w:hAnsi="Times New Roman" w:cs="Times New Roman"/>
          <w:color w:val="595959"/>
          <w:kern w:val="24"/>
          <w:sz w:val="20"/>
          <w:szCs w:val="20"/>
          <w:lang w:eastAsia="pl-PL"/>
          <w14:textFill>
            <w14:solidFill>
              <w14:srgbClr w14:val="595959">
                <w14:lumMod w14:val="65000"/>
                <w14:lumOff w14:val="35000"/>
              </w14:srgbClr>
            </w14:solidFill>
          </w14:textFill>
        </w:rPr>
        <w:t xml:space="preserve"> </w:t>
      </w:r>
      <w:r w:rsidR="00974D3B">
        <w:rPr>
          <w:rFonts w:ascii="Times New Roman" w:hAnsi="Times New Roman" w:cs="Times New Roman"/>
          <w:sz w:val="20"/>
          <w:szCs w:val="20"/>
        </w:rPr>
        <w:t xml:space="preserve">Wartości współczynnika stabilności wyniku finansowego </w:t>
      </w:r>
      <w:r w:rsidR="00974D3B">
        <w:rPr>
          <w:rFonts w:ascii="Times New Roman" w:hAnsi="Times New Roman" w:cs="Times New Roman"/>
          <w:i/>
          <w:sz w:val="20"/>
          <w:szCs w:val="20"/>
        </w:rPr>
        <w:t>PERS</w:t>
      </w:r>
      <w:r w:rsidR="00974D3B">
        <w:rPr>
          <w:rFonts w:ascii="Times New Roman" w:hAnsi="Times New Roman" w:cs="Times New Roman"/>
          <w:sz w:val="20"/>
          <w:szCs w:val="20"/>
        </w:rPr>
        <w:t xml:space="preserve"> obliczone dla spółek giełdowych notowanych w indeksie WIG-CEE</w:t>
      </w:r>
      <w:r w:rsidRPr="0075292C">
        <w:rPr>
          <w:rFonts w:ascii="Times New Roman" w:hAnsi="Times New Roman" w:cs="Times New Roman"/>
          <w:sz w:val="20"/>
          <w:szCs w:val="20"/>
        </w:rPr>
        <w:t>.</w:t>
      </w:r>
    </w:p>
    <w:p w:rsidR="00CA0ABA" w:rsidRDefault="0075292C" w:rsidP="00A21B1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92C">
        <w:rPr>
          <w:rFonts w:ascii="Times New Roman" w:hAnsi="Times New Roman" w:cs="Times New Roman"/>
          <w:sz w:val="20"/>
          <w:szCs w:val="20"/>
        </w:rPr>
        <w:t>Źródło: opracowanie własne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A21B1A" w:rsidRPr="00A21B1A" w:rsidRDefault="00A21B1A" w:rsidP="00A21B1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A0ABA" w:rsidRDefault="00CA0ABA" w:rsidP="00CA0A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val="ru-RU" w:eastAsia="ru-RU"/>
        </w:rPr>
        <w:drawing>
          <wp:inline distT="0" distB="0" distL="0" distR="0" wp14:anchorId="3538510E" wp14:editId="6F3C2A8F">
            <wp:extent cx="5173980" cy="3604260"/>
            <wp:effectExtent l="0" t="0" r="7620" b="1524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F4AFCED2-7814-49CF-AB59-10F97EDF17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D6E02" w:rsidRPr="0075292C" w:rsidRDefault="00DD6E02" w:rsidP="00DD6E0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292C">
        <w:rPr>
          <w:rFonts w:ascii="Times New Roman" w:hAnsi="Times New Roman" w:cs="Times New Roman"/>
          <w:sz w:val="20"/>
          <w:szCs w:val="20"/>
        </w:rPr>
        <w:t xml:space="preserve">Rys.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75292C">
        <w:rPr>
          <w:rFonts w:ascii="Times New Roman" w:hAnsi="Times New Roman" w:cs="Times New Roman"/>
          <w:sz w:val="20"/>
          <w:szCs w:val="20"/>
        </w:rPr>
        <w:t>.</w:t>
      </w:r>
      <w:r w:rsidRPr="0075292C">
        <w:rPr>
          <w:rFonts w:ascii="Times New Roman" w:eastAsiaTheme="minorEastAsia" w:hAnsi="Times New Roman" w:cs="Times New Roman"/>
          <w:color w:val="595959"/>
          <w:kern w:val="24"/>
          <w:sz w:val="20"/>
          <w:szCs w:val="20"/>
          <w:lang w:eastAsia="pl-PL"/>
          <w14:textFill>
            <w14:solidFill>
              <w14:srgbClr w14:val="595959">
                <w14:lumMod w14:val="65000"/>
                <w14:lumOff w14:val="35000"/>
              </w14:srgbClr>
            </w14:solidFill>
          </w14:textFill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Wartości współczynnika stabilności składnika gotówkowego wyniku finansowego netto </w:t>
      </w:r>
      <w:r>
        <w:rPr>
          <w:rFonts w:ascii="Times New Roman" w:hAnsi="Times New Roman" w:cs="Times New Roman"/>
          <w:i/>
          <w:sz w:val="20"/>
          <w:szCs w:val="20"/>
        </w:rPr>
        <w:t>PERS_CFO</w:t>
      </w:r>
      <w:r>
        <w:rPr>
          <w:rFonts w:ascii="Times New Roman" w:hAnsi="Times New Roman" w:cs="Times New Roman"/>
          <w:sz w:val="20"/>
          <w:szCs w:val="20"/>
        </w:rPr>
        <w:t xml:space="preserve"> obliczone dla spółek giełdowych notowanych w indeksie WIG-CEE</w:t>
      </w:r>
      <w:r w:rsidRPr="0075292C">
        <w:rPr>
          <w:rFonts w:ascii="Times New Roman" w:hAnsi="Times New Roman" w:cs="Times New Roman"/>
          <w:sz w:val="20"/>
          <w:szCs w:val="20"/>
        </w:rPr>
        <w:t>.</w:t>
      </w:r>
    </w:p>
    <w:p w:rsidR="00EF02F4" w:rsidRPr="00A21B1A" w:rsidRDefault="00DD6E02" w:rsidP="00A21B1A">
      <w:pPr>
        <w:spacing w:after="0" w:line="240" w:lineRule="auto"/>
        <w:jc w:val="both"/>
        <w:rPr>
          <w:rStyle w:val="q4iawc"/>
          <w:rFonts w:ascii="Times New Roman" w:hAnsi="Times New Roman" w:cs="Times New Roman"/>
          <w:sz w:val="24"/>
          <w:szCs w:val="24"/>
        </w:rPr>
      </w:pPr>
      <w:r w:rsidRPr="0075292C">
        <w:rPr>
          <w:rFonts w:ascii="Times New Roman" w:hAnsi="Times New Roman" w:cs="Times New Roman"/>
          <w:sz w:val="20"/>
          <w:szCs w:val="20"/>
        </w:rPr>
        <w:t>Źródło: opracowanie własne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DD6E02" w:rsidRDefault="00DD6E02" w:rsidP="00163AA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3F1C3D73" wp14:editId="53821ACC">
            <wp:extent cx="5078730" cy="3802380"/>
            <wp:effectExtent l="0" t="0" r="7620" b="7620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id="{DBCB409B-9D3B-4937-872F-7A48CC21E4A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D6E02" w:rsidRPr="0075292C" w:rsidRDefault="00DD6E02" w:rsidP="00DD6E0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292C">
        <w:rPr>
          <w:rFonts w:ascii="Times New Roman" w:hAnsi="Times New Roman" w:cs="Times New Roman"/>
          <w:sz w:val="20"/>
          <w:szCs w:val="20"/>
        </w:rPr>
        <w:t xml:space="preserve">Rys.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75292C">
        <w:rPr>
          <w:rFonts w:ascii="Times New Roman" w:hAnsi="Times New Roman" w:cs="Times New Roman"/>
          <w:sz w:val="20"/>
          <w:szCs w:val="20"/>
        </w:rPr>
        <w:t>.</w:t>
      </w:r>
      <w:r w:rsidRPr="0075292C">
        <w:rPr>
          <w:rFonts w:ascii="Times New Roman" w:eastAsiaTheme="minorEastAsia" w:hAnsi="Times New Roman" w:cs="Times New Roman"/>
          <w:color w:val="595959"/>
          <w:kern w:val="24"/>
          <w:sz w:val="20"/>
          <w:szCs w:val="20"/>
          <w:lang w:eastAsia="pl-PL"/>
          <w14:textFill>
            <w14:solidFill>
              <w14:srgbClr w14:val="595959">
                <w14:lumMod w14:val="65000"/>
                <w14:lumOff w14:val="35000"/>
              </w14:srgbClr>
            </w14:solidFill>
          </w14:textFill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Wartości współczynnika stabilności składnika memoriałowego wyniku finansowego netto </w:t>
      </w:r>
      <w:r>
        <w:rPr>
          <w:rFonts w:ascii="Times New Roman" w:hAnsi="Times New Roman" w:cs="Times New Roman"/>
          <w:i/>
          <w:sz w:val="20"/>
          <w:szCs w:val="20"/>
        </w:rPr>
        <w:t>PERS_ACC</w:t>
      </w:r>
      <w:r>
        <w:rPr>
          <w:rFonts w:ascii="Times New Roman" w:hAnsi="Times New Roman" w:cs="Times New Roman"/>
          <w:sz w:val="20"/>
          <w:szCs w:val="20"/>
        </w:rPr>
        <w:t xml:space="preserve"> obliczone dla spółek giełdowych notowanych w indeksie WIG-CEE</w:t>
      </w:r>
      <w:r w:rsidRPr="0075292C">
        <w:rPr>
          <w:rFonts w:ascii="Times New Roman" w:hAnsi="Times New Roman" w:cs="Times New Roman"/>
          <w:sz w:val="20"/>
          <w:szCs w:val="20"/>
        </w:rPr>
        <w:t>.</w:t>
      </w:r>
    </w:p>
    <w:p w:rsidR="00DD6E02" w:rsidRPr="0075292C" w:rsidRDefault="00DD6E02" w:rsidP="00DD6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92C">
        <w:rPr>
          <w:rFonts w:ascii="Times New Roman" w:hAnsi="Times New Roman" w:cs="Times New Roman"/>
          <w:sz w:val="20"/>
          <w:szCs w:val="20"/>
        </w:rPr>
        <w:t>Źródło: opracowanie własne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DD6E02" w:rsidRDefault="00DD6E02" w:rsidP="00163AA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D6E02" w:rsidRDefault="00DD6E02" w:rsidP="00163AA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D1957" w:rsidRDefault="004D6CBE" w:rsidP="00A21B1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ab/>
      </w:r>
    </w:p>
    <w:p w:rsidR="00BD1957" w:rsidRPr="00BD1957" w:rsidRDefault="00BD1957" w:rsidP="00143A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144C2307" wp14:editId="0BD51F53">
            <wp:extent cx="5399405" cy="4304665"/>
            <wp:effectExtent l="0" t="0" r="10795" b="635"/>
            <wp:docPr id="6" name="Wykres 6">
              <a:extLst xmlns:a="http://schemas.openxmlformats.org/drawingml/2006/main">
                <a:ext uri="{FF2B5EF4-FFF2-40B4-BE49-F238E27FC236}">
                  <a16:creationId xmlns:a16="http://schemas.microsoft.com/office/drawing/2014/main" id="{F6DA7C7F-D9F4-4B52-9805-495CDDDF7B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D1957" w:rsidRPr="0075292C" w:rsidRDefault="00BD1957" w:rsidP="00BD195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292C">
        <w:rPr>
          <w:rFonts w:ascii="Times New Roman" w:hAnsi="Times New Roman" w:cs="Times New Roman"/>
          <w:sz w:val="20"/>
          <w:szCs w:val="20"/>
        </w:rPr>
        <w:t xml:space="preserve">Rys. 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75292C">
        <w:rPr>
          <w:rFonts w:ascii="Times New Roman" w:hAnsi="Times New Roman" w:cs="Times New Roman"/>
          <w:sz w:val="20"/>
          <w:szCs w:val="20"/>
        </w:rPr>
        <w:t>.</w:t>
      </w:r>
      <w:r w:rsidRPr="0075292C">
        <w:rPr>
          <w:rFonts w:ascii="Times New Roman" w:eastAsiaTheme="minorEastAsia" w:hAnsi="Times New Roman" w:cs="Times New Roman"/>
          <w:color w:val="595959"/>
          <w:kern w:val="24"/>
          <w:sz w:val="20"/>
          <w:szCs w:val="20"/>
          <w:lang w:eastAsia="pl-PL"/>
          <w14:textFill>
            <w14:solidFill>
              <w14:srgbClr w14:val="595959">
                <w14:lumMod w14:val="65000"/>
                <w14:lumOff w14:val="35000"/>
              </w14:srgbClr>
            </w14:solidFill>
          </w14:textFill>
        </w:rPr>
        <w:t xml:space="preserve"> </w:t>
      </w:r>
      <w:r w:rsidRPr="00BD1957"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  <w:lang w:eastAsia="pl-PL"/>
        </w:rPr>
        <w:t xml:space="preserve">Średnie </w:t>
      </w:r>
      <w:r w:rsidRPr="00BD195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wartości </w:t>
      </w:r>
      <w:r>
        <w:rPr>
          <w:rFonts w:ascii="Times New Roman" w:hAnsi="Times New Roman" w:cs="Times New Roman"/>
          <w:sz w:val="20"/>
          <w:szCs w:val="20"/>
        </w:rPr>
        <w:t xml:space="preserve">współczynnika dyskrecjonalnych różnic memoriałowych wyodrębnianych w oparciu o podejście </w:t>
      </w:r>
      <w:r w:rsidRPr="00BD1957">
        <w:rPr>
          <w:rFonts w:ascii="Times New Roman" w:hAnsi="Times New Roman" w:cs="Times New Roman"/>
          <w:sz w:val="20"/>
          <w:szCs w:val="20"/>
        </w:rPr>
        <w:t>wykorzystujące rachunek przepływów pieniężnych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DACC_CFO</w:t>
      </w:r>
      <w:r>
        <w:rPr>
          <w:rFonts w:ascii="Times New Roman" w:hAnsi="Times New Roman" w:cs="Times New Roman"/>
          <w:sz w:val="20"/>
          <w:szCs w:val="20"/>
        </w:rPr>
        <w:t xml:space="preserve"> obliczone dla spółek giełdowych notowanych w indeksie WIG-CEE</w:t>
      </w:r>
      <w:r w:rsidRPr="0075292C">
        <w:rPr>
          <w:rFonts w:ascii="Times New Roman" w:hAnsi="Times New Roman" w:cs="Times New Roman"/>
          <w:sz w:val="20"/>
          <w:szCs w:val="20"/>
        </w:rPr>
        <w:t>.</w:t>
      </w:r>
    </w:p>
    <w:p w:rsidR="00BD1957" w:rsidRPr="0075292C" w:rsidRDefault="00BD1957" w:rsidP="00BD1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92C">
        <w:rPr>
          <w:rFonts w:ascii="Times New Roman" w:hAnsi="Times New Roman" w:cs="Times New Roman"/>
          <w:sz w:val="20"/>
          <w:szCs w:val="20"/>
        </w:rPr>
        <w:t>Źródło: opracowanie własne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4D6CBE" w:rsidRDefault="004D6CBE" w:rsidP="00143A0E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D1957" w:rsidRDefault="00BD1957" w:rsidP="00143A0E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D1957" w:rsidRDefault="00BD1957" w:rsidP="00143A0E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D1957" w:rsidRDefault="00BD1957" w:rsidP="00143A0E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D1957" w:rsidRDefault="00BD1957" w:rsidP="00143A0E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D1957" w:rsidRDefault="00BD1957" w:rsidP="00143A0E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37BDC033" wp14:editId="1248DDDB">
            <wp:extent cx="5399405" cy="3768090"/>
            <wp:effectExtent l="0" t="0" r="10795" b="3810"/>
            <wp:docPr id="7" name="Wykres 7">
              <a:extLst xmlns:a="http://schemas.openxmlformats.org/drawingml/2006/main">
                <a:ext uri="{FF2B5EF4-FFF2-40B4-BE49-F238E27FC236}">
                  <a16:creationId xmlns:a16="http://schemas.microsoft.com/office/drawing/2014/main" id="{BA514B84-0D49-4A13-9E0A-7767F68BC4B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D1957" w:rsidRPr="0075292C" w:rsidRDefault="00BD1957" w:rsidP="00BD195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292C">
        <w:rPr>
          <w:rFonts w:ascii="Times New Roman" w:hAnsi="Times New Roman" w:cs="Times New Roman"/>
          <w:sz w:val="20"/>
          <w:szCs w:val="20"/>
        </w:rPr>
        <w:t xml:space="preserve">Rys. 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75292C">
        <w:rPr>
          <w:rFonts w:ascii="Times New Roman" w:hAnsi="Times New Roman" w:cs="Times New Roman"/>
          <w:sz w:val="20"/>
          <w:szCs w:val="20"/>
        </w:rPr>
        <w:t>.</w:t>
      </w:r>
      <w:r w:rsidRPr="0075292C">
        <w:rPr>
          <w:rFonts w:ascii="Times New Roman" w:eastAsiaTheme="minorEastAsia" w:hAnsi="Times New Roman" w:cs="Times New Roman"/>
          <w:color w:val="595959"/>
          <w:kern w:val="24"/>
          <w:sz w:val="20"/>
          <w:szCs w:val="20"/>
          <w:lang w:eastAsia="pl-PL"/>
          <w14:textFill>
            <w14:solidFill>
              <w14:srgbClr w14:val="595959">
                <w14:lumMod w14:val="65000"/>
                <w14:lumOff w14:val="35000"/>
              </w14:srgbClr>
            </w14:solidFill>
          </w14:textFill>
        </w:rPr>
        <w:t xml:space="preserve"> </w:t>
      </w:r>
      <w:r w:rsidRPr="00BD1957"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  <w:lang w:eastAsia="pl-PL"/>
        </w:rPr>
        <w:t xml:space="preserve">Średnie </w:t>
      </w:r>
      <w:r w:rsidRPr="00BD195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wartości </w:t>
      </w:r>
      <w:r>
        <w:rPr>
          <w:rFonts w:ascii="Times New Roman" w:hAnsi="Times New Roman" w:cs="Times New Roman"/>
          <w:sz w:val="20"/>
          <w:szCs w:val="20"/>
        </w:rPr>
        <w:t xml:space="preserve">współczynnika dyskrecjonalnych różnic memoriałowych wyodrębnianych w oparciu o podejście bilansowe </w:t>
      </w:r>
      <w:r>
        <w:rPr>
          <w:rFonts w:ascii="Times New Roman" w:hAnsi="Times New Roman" w:cs="Times New Roman"/>
          <w:i/>
          <w:sz w:val="20"/>
          <w:szCs w:val="20"/>
        </w:rPr>
        <w:t>DACC_BS</w:t>
      </w:r>
      <w:r>
        <w:rPr>
          <w:rFonts w:ascii="Times New Roman" w:hAnsi="Times New Roman" w:cs="Times New Roman"/>
          <w:sz w:val="20"/>
          <w:szCs w:val="20"/>
        </w:rPr>
        <w:t xml:space="preserve"> obliczone dla spółek giełdowych notowanych w indeksie WIG-CEE</w:t>
      </w:r>
      <w:r w:rsidRPr="0075292C">
        <w:rPr>
          <w:rFonts w:ascii="Times New Roman" w:hAnsi="Times New Roman" w:cs="Times New Roman"/>
          <w:sz w:val="20"/>
          <w:szCs w:val="20"/>
        </w:rPr>
        <w:t>.</w:t>
      </w:r>
    </w:p>
    <w:p w:rsidR="00BD1957" w:rsidRDefault="00BD1957" w:rsidP="00BD19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92C">
        <w:rPr>
          <w:rFonts w:ascii="Times New Roman" w:hAnsi="Times New Roman" w:cs="Times New Roman"/>
          <w:sz w:val="20"/>
          <w:szCs w:val="20"/>
        </w:rPr>
        <w:t>Źródło: opracowanie własne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CE0CC5" w:rsidRDefault="00CE0CC5" w:rsidP="00BD1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4712" w:rsidRPr="00173DEE" w:rsidRDefault="00294712" w:rsidP="003E6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ru-RU" w:eastAsia="ru-RU"/>
        </w:rPr>
        <w:drawing>
          <wp:inline distT="0" distB="0" distL="0" distR="0" wp14:anchorId="282EE431" wp14:editId="32BED19D">
            <wp:extent cx="5025390" cy="3489960"/>
            <wp:effectExtent l="0" t="0" r="3810" b="15240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id="{1BD75281-960B-45D0-A7E0-94C84205F5B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94712" w:rsidRPr="0075292C" w:rsidRDefault="00294712" w:rsidP="0029471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292C">
        <w:rPr>
          <w:rFonts w:ascii="Times New Roman" w:hAnsi="Times New Roman" w:cs="Times New Roman"/>
          <w:sz w:val="20"/>
          <w:szCs w:val="20"/>
        </w:rPr>
        <w:t xml:space="preserve">Rys. 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75292C">
        <w:rPr>
          <w:rFonts w:ascii="Times New Roman" w:hAnsi="Times New Roman" w:cs="Times New Roman"/>
          <w:sz w:val="20"/>
          <w:szCs w:val="20"/>
        </w:rPr>
        <w:t>.</w:t>
      </w:r>
      <w:r w:rsidRPr="0075292C">
        <w:rPr>
          <w:rFonts w:ascii="Times New Roman" w:eastAsiaTheme="minorEastAsia" w:hAnsi="Times New Roman" w:cs="Times New Roman"/>
          <w:color w:val="595959"/>
          <w:kern w:val="24"/>
          <w:sz w:val="20"/>
          <w:szCs w:val="20"/>
          <w:lang w:eastAsia="pl-PL"/>
          <w14:textFill>
            <w14:solidFill>
              <w14:srgbClr w14:val="595959">
                <w14:lumMod w14:val="65000"/>
                <w14:lumOff w14:val="35000"/>
              </w14:srgbClr>
            </w14:solidFill>
          </w14:textFill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  <w:lang w:eastAsia="pl-PL"/>
        </w:rPr>
        <w:t>W</w:t>
      </w:r>
      <w:r w:rsidRPr="00BD195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artości </w:t>
      </w:r>
      <w:r>
        <w:rPr>
          <w:rFonts w:ascii="Times New Roman" w:hAnsi="Times New Roman" w:cs="Times New Roman"/>
          <w:sz w:val="20"/>
          <w:szCs w:val="20"/>
        </w:rPr>
        <w:t xml:space="preserve">współczynnika gładkości wyniku finansowego </w:t>
      </w:r>
      <w:r>
        <w:rPr>
          <w:rFonts w:ascii="Times New Roman" w:hAnsi="Times New Roman" w:cs="Times New Roman"/>
          <w:i/>
          <w:sz w:val="20"/>
          <w:szCs w:val="20"/>
        </w:rPr>
        <w:t>SMOOTH</w:t>
      </w:r>
      <w:r>
        <w:rPr>
          <w:rFonts w:ascii="Times New Roman" w:hAnsi="Times New Roman" w:cs="Times New Roman"/>
          <w:sz w:val="20"/>
          <w:szCs w:val="20"/>
        </w:rPr>
        <w:t xml:space="preserve"> obliczone dla spółek giełdowych notowanych w indeksie WIG-CEE</w:t>
      </w:r>
      <w:r w:rsidRPr="0075292C">
        <w:rPr>
          <w:rFonts w:ascii="Times New Roman" w:hAnsi="Times New Roman" w:cs="Times New Roman"/>
          <w:sz w:val="20"/>
          <w:szCs w:val="20"/>
        </w:rPr>
        <w:t>.</w:t>
      </w:r>
    </w:p>
    <w:p w:rsidR="00294712" w:rsidRDefault="00294712" w:rsidP="002947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292C">
        <w:rPr>
          <w:rFonts w:ascii="Times New Roman" w:hAnsi="Times New Roman" w:cs="Times New Roman"/>
          <w:sz w:val="20"/>
          <w:szCs w:val="20"/>
        </w:rPr>
        <w:t>Źródło: opracowanie własne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3E6A27" w:rsidRPr="0075292C" w:rsidRDefault="003E6A27" w:rsidP="00BD1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515" w:rsidRPr="00A20CFF" w:rsidRDefault="00C8539E" w:rsidP="00A20CF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</w:p>
    <w:p w:rsidR="00916515" w:rsidRDefault="00916515" w:rsidP="00C853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62397" w:rsidRDefault="00163AA1" w:rsidP="00163AA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D1649">
        <w:rPr>
          <w:rFonts w:ascii="Times New Roman" w:hAnsi="Times New Roman"/>
          <w:sz w:val="20"/>
          <w:szCs w:val="20"/>
        </w:rPr>
        <w:t xml:space="preserve">Tab. </w:t>
      </w:r>
      <w:r w:rsidR="00294712">
        <w:rPr>
          <w:rFonts w:ascii="Times New Roman" w:hAnsi="Times New Roman"/>
          <w:sz w:val="20"/>
          <w:szCs w:val="20"/>
        </w:rPr>
        <w:t>1</w:t>
      </w:r>
      <w:r w:rsidRPr="007D1649">
        <w:rPr>
          <w:rFonts w:ascii="Times New Roman" w:hAnsi="Times New Roman"/>
          <w:sz w:val="20"/>
          <w:szCs w:val="20"/>
        </w:rPr>
        <w:t xml:space="preserve">. </w:t>
      </w:r>
      <w:r w:rsidR="00916515">
        <w:rPr>
          <w:rFonts w:ascii="Times New Roman" w:hAnsi="Times New Roman"/>
          <w:sz w:val="20"/>
          <w:szCs w:val="20"/>
        </w:rPr>
        <w:t>Wyniki analizy korelacji zachodzących między poszczególnymi miernikami jakości wyniku finansowego obliczone za pomocą współczynnika korelacji rang Spearmana</w:t>
      </w:r>
      <w:r>
        <w:rPr>
          <w:rFonts w:ascii="Times New Roman" w:hAnsi="Times New Roman"/>
          <w:sz w:val="20"/>
          <w:szCs w:val="20"/>
        </w:rPr>
        <w:t>.</w:t>
      </w:r>
    </w:p>
    <w:p w:rsidR="00916515" w:rsidRDefault="00916515" w:rsidP="00163AA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Zwykatabela5"/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3"/>
        <w:gridCol w:w="1268"/>
        <w:gridCol w:w="1268"/>
        <w:gridCol w:w="1269"/>
        <w:gridCol w:w="1268"/>
        <w:gridCol w:w="1268"/>
        <w:gridCol w:w="1269"/>
      </w:tblGrid>
      <w:tr w:rsidR="00916515" w:rsidRPr="00916515" w:rsidTr="009165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63" w:type="dxa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rPr>
                <w:rFonts w:ascii="Times New Roman" w:eastAsia="Times New Roman" w:hAnsi="Times New Roman" w:cs="Times New Roman"/>
                <w:b/>
                <w:i w:val="0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b/>
                <w:i w:val="0"/>
                <w:color w:val="000000" w:themeColor="text1"/>
                <w:sz w:val="20"/>
                <w:szCs w:val="20"/>
                <w:lang w:eastAsia="pl-PL"/>
              </w:rPr>
              <w:t>Współczynnik</w:t>
            </w:r>
          </w:p>
        </w:tc>
        <w:tc>
          <w:tcPr>
            <w:tcW w:w="1268" w:type="dxa"/>
            <w:shd w:val="clear" w:color="auto" w:fill="F2F2F2" w:themeFill="background1" w:themeFillShade="F2"/>
            <w:vAlign w:val="center"/>
            <w:hideMark/>
          </w:tcPr>
          <w:p w:rsidR="00916515" w:rsidRPr="00916515" w:rsidRDefault="00916515" w:rsidP="009165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PERS</w:t>
            </w:r>
          </w:p>
        </w:tc>
        <w:tc>
          <w:tcPr>
            <w:tcW w:w="1268" w:type="dxa"/>
            <w:shd w:val="clear" w:color="auto" w:fill="F2F2F2" w:themeFill="background1" w:themeFillShade="F2"/>
            <w:vAlign w:val="center"/>
            <w:hideMark/>
          </w:tcPr>
          <w:p w:rsidR="00916515" w:rsidRPr="00916515" w:rsidRDefault="00916515" w:rsidP="009165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PERS_CFO</w:t>
            </w:r>
          </w:p>
        </w:tc>
        <w:tc>
          <w:tcPr>
            <w:tcW w:w="1269" w:type="dxa"/>
            <w:shd w:val="clear" w:color="auto" w:fill="F2F2F2" w:themeFill="background1" w:themeFillShade="F2"/>
            <w:vAlign w:val="center"/>
            <w:hideMark/>
          </w:tcPr>
          <w:p w:rsidR="00916515" w:rsidRPr="00916515" w:rsidRDefault="00916515" w:rsidP="009165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PERS_ACC</w:t>
            </w:r>
          </w:p>
        </w:tc>
        <w:tc>
          <w:tcPr>
            <w:tcW w:w="1268" w:type="dxa"/>
            <w:shd w:val="clear" w:color="auto" w:fill="D9D9D9" w:themeFill="background1" w:themeFillShade="D9"/>
            <w:vAlign w:val="center"/>
            <w:hideMark/>
          </w:tcPr>
          <w:p w:rsidR="00916515" w:rsidRPr="00916515" w:rsidRDefault="00916515" w:rsidP="009165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SMOOTH</w:t>
            </w:r>
          </w:p>
        </w:tc>
        <w:tc>
          <w:tcPr>
            <w:tcW w:w="1268" w:type="dxa"/>
            <w:shd w:val="clear" w:color="auto" w:fill="A6A6A6" w:themeFill="background1" w:themeFillShade="A6"/>
            <w:vAlign w:val="center"/>
            <w:hideMark/>
          </w:tcPr>
          <w:p w:rsidR="00916515" w:rsidRPr="00916515" w:rsidRDefault="00916515" w:rsidP="009165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DACC_CFO</w:t>
            </w:r>
          </w:p>
        </w:tc>
        <w:tc>
          <w:tcPr>
            <w:tcW w:w="1269" w:type="dxa"/>
            <w:shd w:val="clear" w:color="auto" w:fill="A6A6A6" w:themeFill="background1" w:themeFillShade="A6"/>
            <w:vAlign w:val="center"/>
            <w:hideMark/>
          </w:tcPr>
          <w:p w:rsidR="00916515" w:rsidRPr="00916515" w:rsidRDefault="00916515" w:rsidP="009165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DACC_ACC</w:t>
            </w:r>
          </w:p>
        </w:tc>
      </w:tr>
      <w:tr w:rsidR="00916515" w:rsidRPr="00916515" w:rsidTr="00916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3" w:type="dxa"/>
            <w:tcBorders>
              <w:right w:val="none" w:sz="0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16515" w:rsidRPr="00916515" w:rsidRDefault="00916515" w:rsidP="009165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PERS</w:t>
            </w:r>
          </w:p>
        </w:tc>
        <w:tc>
          <w:tcPr>
            <w:tcW w:w="1268" w:type="dxa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1,000</w:t>
            </w:r>
          </w:p>
        </w:tc>
        <w:tc>
          <w:tcPr>
            <w:tcW w:w="1268" w:type="dxa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,689</w:t>
            </w: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**</w:t>
            </w:r>
          </w:p>
        </w:tc>
        <w:tc>
          <w:tcPr>
            <w:tcW w:w="1269" w:type="dxa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,884</w:t>
            </w: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**</w:t>
            </w:r>
          </w:p>
        </w:tc>
        <w:tc>
          <w:tcPr>
            <w:tcW w:w="1268" w:type="dxa"/>
            <w:shd w:val="clear" w:color="auto" w:fill="D9D9D9" w:themeFill="background1" w:themeFillShade="D9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0,195</w:t>
            </w:r>
          </w:p>
        </w:tc>
        <w:tc>
          <w:tcPr>
            <w:tcW w:w="1268" w:type="dxa"/>
            <w:shd w:val="clear" w:color="auto" w:fill="A6A6A6" w:themeFill="background1" w:themeFillShade="A6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0,158</w:t>
            </w:r>
          </w:p>
        </w:tc>
        <w:tc>
          <w:tcPr>
            <w:tcW w:w="1269" w:type="dxa"/>
            <w:shd w:val="clear" w:color="auto" w:fill="A6A6A6" w:themeFill="background1" w:themeFillShade="A6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0,196</w:t>
            </w:r>
          </w:p>
        </w:tc>
      </w:tr>
      <w:tr w:rsidR="00916515" w:rsidRPr="00916515" w:rsidTr="00916515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3" w:type="dxa"/>
            <w:shd w:val="clear" w:color="auto" w:fill="F2F2F2" w:themeFill="background1" w:themeFillShade="F2"/>
            <w:vAlign w:val="center"/>
            <w:hideMark/>
          </w:tcPr>
          <w:p w:rsidR="00916515" w:rsidRPr="00916515" w:rsidRDefault="00916515" w:rsidP="009165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PERS_CFO</w:t>
            </w:r>
          </w:p>
        </w:tc>
        <w:tc>
          <w:tcPr>
            <w:tcW w:w="1268" w:type="dxa"/>
            <w:shd w:val="clear" w:color="auto" w:fill="F2F2F2" w:themeFill="background1" w:themeFillShade="F2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,689</w:t>
            </w: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**</w:t>
            </w:r>
          </w:p>
        </w:tc>
        <w:tc>
          <w:tcPr>
            <w:tcW w:w="1268" w:type="dxa"/>
            <w:shd w:val="clear" w:color="auto" w:fill="F2F2F2" w:themeFill="background1" w:themeFillShade="F2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1,000</w:t>
            </w:r>
          </w:p>
        </w:tc>
        <w:tc>
          <w:tcPr>
            <w:tcW w:w="1269" w:type="dxa"/>
            <w:shd w:val="clear" w:color="auto" w:fill="F2F2F2" w:themeFill="background1" w:themeFillShade="F2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,635</w:t>
            </w: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**</w:t>
            </w:r>
          </w:p>
        </w:tc>
        <w:tc>
          <w:tcPr>
            <w:tcW w:w="1268" w:type="dxa"/>
            <w:shd w:val="clear" w:color="auto" w:fill="D9D9D9" w:themeFill="background1" w:themeFillShade="D9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0,372</w:t>
            </w:r>
          </w:p>
        </w:tc>
        <w:tc>
          <w:tcPr>
            <w:tcW w:w="1268" w:type="dxa"/>
            <w:shd w:val="clear" w:color="auto" w:fill="A6A6A6" w:themeFill="background1" w:themeFillShade="A6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0,030</w:t>
            </w:r>
          </w:p>
        </w:tc>
        <w:tc>
          <w:tcPr>
            <w:tcW w:w="1269" w:type="dxa"/>
            <w:shd w:val="clear" w:color="auto" w:fill="A6A6A6" w:themeFill="background1" w:themeFillShade="A6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-0,096</w:t>
            </w:r>
          </w:p>
        </w:tc>
      </w:tr>
      <w:tr w:rsidR="00916515" w:rsidRPr="00916515" w:rsidTr="00916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3" w:type="dxa"/>
            <w:tcBorders>
              <w:right w:val="none" w:sz="0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16515" w:rsidRPr="00916515" w:rsidRDefault="00916515" w:rsidP="009165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PERS_ACC</w:t>
            </w:r>
          </w:p>
        </w:tc>
        <w:tc>
          <w:tcPr>
            <w:tcW w:w="1268" w:type="dxa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,884</w:t>
            </w: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**</w:t>
            </w:r>
          </w:p>
        </w:tc>
        <w:tc>
          <w:tcPr>
            <w:tcW w:w="1268" w:type="dxa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,635</w:t>
            </w: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**</w:t>
            </w:r>
          </w:p>
        </w:tc>
        <w:tc>
          <w:tcPr>
            <w:tcW w:w="1269" w:type="dxa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1,000</w:t>
            </w:r>
          </w:p>
        </w:tc>
        <w:tc>
          <w:tcPr>
            <w:tcW w:w="1268" w:type="dxa"/>
            <w:shd w:val="clear" w:color="auto" w:fill="D9D9D9" w:themeFill="background1" w:themeFillShade="D9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0,200</w:t>
            </w:r>
          </w:p>
        </w:tc>
        <w:tc>
          <w:tcPr>
            <w:tcW w:w="1268" w:type="dxa"/>
            <w:shd w:val="clear" w:color="auto" w:fill="A6A6A6" w:themeFill="background1" w:themeFillShade="A6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-0,111</w:t>
            </w:r>
          </w:p>
        </w:tc>
        <w:tc>
          <w:tcPr>
            <w:tcW w:w="1269" w:type="dxa"/>
            <w:shd w:val="clear" w:color="auto" w:fill="A6A6A6" w:themeFill="background1" w:themeFillShade="A6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-0,025</w:t>
            </w:r>
          </w:p>
        </w:tc>
      </w:tr>
      <w:tr w:rsidR="00916515" w:rsidRPr="00916515" w:rsidTr="00916515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3" w:type="dxa"/>
            <w:shd w:val="clear" w:color="auto" w:fill="D9D9D9" w:themeFill="background1" w:themeFillShade="D9"/>
            <w:vAlign w:val="center"/>
            <w:hideMark/>
          </w:tcPr>
          <w:p w:rsidR="00916515" w:rsidRPr="00916515" w:rsidRDefault="00916515" w:rsidP="009165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SMOOTH</w:t>
            </w:r>
          </w:p>
        </w:tc>
        <w:tc>
          <w:tcPr>
            <w:tcW w:w="1268" w:type="dxa"/>
            <w:shd w:val="clear" w:color="auto" w:fill="D9D9D9" w:themeFill="background1" w:themeFillShade="D9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0,195</w:t>
            </w:r>
          </w:p>
        </w:tc>
        <w:tc>
          <w:tcPr>
            <w:tcW w:w="1268" w:type="dxa"/>
            <w:shd w:val="clear" w:color="auto" w:fill="D9D9D9" w:themeFill="background1" w:themeFillShade="D9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0,372</w:t>
            </w:r>
          </w:p>
        </w:tc>
        <w:tc>
          <w:tcPr>
            <w:tcW w:w="1269" w:type="dxa"/>
            <w:shd w:val="clear" w:color="auto" w:fill="D9D9D9" w:themeFill="background1" w:themeFillShade="D9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0,200</w:t>
            </w:r>
          </w:p>
        </w:tc>
        <w:tc>
          <w:tcPr>
            <w:tcW w:w="1268" w:type="dxa"/>
            <w:shd w:val="clear" w:color="auto" w:fill="D9D9D9" w:themeFill="background1" w:themeFillShade="D9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1,000</w:t>
            </w:r>
          </w:p>
        </w:tc>
        <w:tc>
          <w:tcPr>
            <w:tcW w:w="1268" w:type="dxa"/>
            <w:shd w:val="clear" w:color="auto" w:fill="A6A6A6" w:themeFill="background1" w:themeFillShade="A6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-0,088</w:t>
            </w:r>
          </w:p>
        </w:tc>
        <w:tc>
          <w:tcPr>
            <w:tcW w:w="1269" w:type="dxa"/>
            <w:shd w:val="clear" w:color="auto" w:fill="A6A6A6" w:themeFill="background1" w:themeFillShade="A6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-0,032</w:t>
            </w:r>
          </w:p>
        </w:tc>
      </w:tr>
      <w:tr w:rsidR="00916515" w:rsidRPr="00916515" w:rsidTr="00916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3" w:type="dxa"/>
            <w:tcBorders>
              <w:right w:val="none" w:sz="0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16515" w:rsidRPr="00916515" w:rsidRDefault="00916515" w:rsidP="009165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DACC_CFO</w:t>
            </w:r>
          </w:p>
        </w:tc>
        <w:tc>
          <w:tcPr>
            <w:tcW w:w="1268" w:type="dxa"/>
            <w:shd w:val="clear" w:color="auto" w:fill="A6A6A6" w:themeFill="background1" w:themeFillShade="A6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0,158</w:t>
            </w:r>
          </w:p>
        </w:tc>
        <w:tc>
          <w:tcPr>
            <w:tcW w:w="1268" w:type="dxa"/>
            <w:shd w:val="clear" w:color="auto" w:fill="A6A6A6" w:themeFill="background1" w:themeFillShade="A6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0,030</w:t>
            </w:r>
          </w:p>
        </w:tc>
        <w:tc>
          <w:tcPr>
            <w:tcW w:w="1269" w:type="dxa"/>
            <w:shd w:val="clear" w:color="auto" w:fill="A6A6A6" w:themeFill="background1" w:themeFillShade="A6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-0,111</w:t>
            </w:r>
          </w:p>
        </w:tc>
        <w:tc>
          <w:tcPr>
            <w:tcW w:w="1268" w:type="dxa"/>
            <w:shd w:val="clear" w:color="auto" w:fill="A6A6A6" w:themeFill="background1" w:themeFillShade="A6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-0,088</w:t>
            </w:r>
          </w:p>
        </w:tc>
        <w:tc>
          <w:tcPr>
            <w:tcW w:w="1268" w:type="dxa"/>
            <w:shd w:val="clear" w:color="auto" w:fill="A6A6A6" w:themeFill="background1" w:themeFillShade="A6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1,000</w:t>
            </w:r>
          </w:p>
        </w:tc>
        <w:tc>
          <w:tcPr>
            <w:tcW w:w="1269" w:type="dxa"/>
            <w:shd w:val="clear" w:color="auto" w:fill="A6A6A6" w:themeFill="background1" w:themeFillShade="A6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,744</w:t>
            </w: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**</w:t>
            </w:r>
          </w:p>
        </w:tc>
      </w:tr>
      <w:tr w:rsidR="00916515" w:rsidRPr="00916515" w:rsidTr="00916515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3" w:type="dxa"/>
            <w:tcBorders>
              <w:right w:val="none" w:sz="0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16515" w:rsidRPr="00916515" w:rsidRDefault="00916515" w:rsidP="009165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DACC_ACC</w:t>
            </w:r>
          </w:p>
        </w:tc>
        <w:tc>
          <w:tcPr>
            <w:tcW w:w="1268" w:type="dxa"/>
            <w:shd w:val="clear" w:color="auto" w:fill="A6A6A6" w:themeFill="background1" w:themeFillShade="A6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0,196</w:t>
            </w:r>
          </w:p>
        </w:tc>
        <w:tc>
          <w:tcPr>
            <w:tcW w:w="1268" w:type="dxa"/>
            <w:shd w:val="clear" w:color="auto" w:fill="A6A6A6" w:themeFill="background1" w:themeFillShade="A6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-0,096</w:t>
            </w:r>
          </w:p>
        </w:tc>
        <w:tc>
          <w:tcPr>
            <w:tcW w:w="1269" w:type="dxa"/>
            <w:shd w:val="clear" w:color="auto" w:fill="A6A6A6" w:themeFill="background1" w:themeFillShade="A6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-0,025</w:t>
            </w:r>
          </w:p>
        </w:tc>
        <w:tc>
          <w:tcPr>
            <w:tcW w:w="1268" w:type="dxa"/>
            <w:shd w:val="clear" w:color="auto" w:fill="A6A6A6" w:themeFill="background1" w:themeFillShade="A6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-0,032</w:t>
            </w:r>
          </w:p>
        </w:tc>
        <w:tc>
          <w:tcPr>
            <w:tcW w:w="1268" w:type="dxa"/>
            <w:shd w:val="clear" w:color="auto" w:fill="A6A6A6" w:themeFill="background1" w:themeFillShade="A6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,744</w:t>
            </w: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**</w:t>
            </w:r>
          </w:p>
        </w:tc>
        <w:tc>
          <w:tcPr>
            <w:tcW w:w="1269" w:type="dxa"/>
            <w:shd w:val="clear" w:color="auto" w:fill="A6A6A6" w:themeFill="background1" w:themeFillShade="A6"/>
            <w:noWrap/>
            <w:vAlign w:val="center"/>
            <w:hideMark/>
          </w:tcPr>
          <w:p w:rsidR="00916515" w:rsidRPr="00916515" w:rsidRDefault="00916515" w:rsidP="00916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1,000</w:t>
            </w:r>
          </w:p>
        </w:tc>
      </w:tr>
      <w:tr w:rsidR="00916515" w:rsidRPr="00916515" w:rsidTr="00916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  <w:gridSpan w:val="7"/>
            <w:vAlign w:val="center"/>
          </w:tcPr>
          <w:p w:rsidR="00916515" w:rsidRPr="00916515" w:rsidRDefault="00916515" w:rsidP="00916515">
            <w:pPr>
              <w:jc w:val="left"/>
              <w:rPr>
                <w:rFonts w:ascii="Times New Roman" w:eastAsia="Times New Roman" w:hAnsi="Times New Roman" w:cs="Times New Roman"/>
                <w:i w:val="0"/>
                <w:color w:val="000000" w:themeColor="text1"/>
                <w:sz w:val="20"/>
                <w:szCs w:val="20"/>
                <w:lang w:eastAsia="pl-PL"/>
              </w:rPr>
            </w:pPr>
            <w:r w:rsidRPr="00916515">
              <w:rPr>
                <w:rFonts w:ascii="Times New Roman" w:eastAsia="Times New Roman" w:hAnsi="Times New Roman" w:cs="Times New Roman"/>
                <w:i w:val="0"/>
                <w:color w:val="000000" w:themeColor="text1"/>
                <w:sz w:val="20"/>
                <w:szCs w:val="20"/>
                <w:lang w:eastAsia="pl-PL"/>
              </w:rPr>
              <w:t>* oznaczono korelacje istotne statystycznie na poziomie α = 0,01.</w:t>
            </w:r>
          </w:p>
        </w:tc>
      </w:tr>
    </w:tbl>
    <w:p w:rsidR="006875FA" w:rsidRPr="00163AA1" w:rsidRDefault="006875FA" w:rsidP="0091651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63AA1" w:rsidRPr="0075292C" w:rsidRDefault="00163AA1" w:rsidP="00163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92C">
        <w:rPr>
          <w:rFonts w:ascii="Times New Roman" w:hAnsi="Times New Roman" w:cs="Times New Roman"/>
          <w:sz w:val="20"/>
          <w:szCs w:val="20"/>
        </w:rPr>
        <w:t>Źródło: opracowanie własne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1570F5" w:rsidRPr="009F3BD2" w:rsidRDefault="001570F5" w:rsidP="00775E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7792C" w:rsidRPr="00C00ECF" w:rsidRDefault="0087792C" w:rsidP="00666B9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bookmarkStart w:id="0" w:name="_GoBack"/>
      <w:bookmarkEnd w:id="0"/>
    </w:p>
    <w:sectPr w:rsidR="0087792C" w:rsidRPr="00C00ECF" w:rsidSect="007B6BD9">
      <w:footerReference w:type="default" r:id="rId14"/>
      <w:pgSz w:w="11906" w:h="16838"/>
      <w:pgMar w:top="1418" w:right="198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65E3" w:rsidRDefault="004365E3" w:rsidP="00DE531C">
      <w:pPr>
        <w:spacing w:after="0" w:line="240" w:lineRule="auto"/>
      </w:pPr>
      <w:r>
        <w:separator/>
      </w:r>
    </w:p>
  </w:endnote>
  <w:endnote w:type="continuationSeparator" w:id="0">
    <w:p w:rsidR="004365E3" w:rsidRDefault="004365E3" w:rsidP="00DE5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slon 540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altName w:val="Times"/>
    <w:panose1 w:val="02020603050405020304"/>
    <w:charset w:val="EE"/>
    <w:family w:val="roman"/>
    <w:pitch w:val="default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2609543"/>
      <w:docPartObj>
        <w:docPartGallery w:val="Page Numbers (Bottom of Page)"/>
        <w:docPartUnique/>
      </w:docPartObj>
    </w:sdtPr>
    <w:sdtEndPr/>
    <w:sdtContent>
      <w:p w:rsidR="00CD37F8" w:rsidRDefault="00CD37F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654F">
          <w:rPr>
            <w:noProof/>
          </w:rPr>
          <w:t>10</w:t>
        </w:r>
        <w:r>
          <w:fldChar w:fldCharType="end"/>
        </w:r>
      </w:p>
    </w:sdtContent>
  </w:sdt>
  <w:p w:rsidR="00CD37F8" w:rsidRDefault="00CD37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65E3" w:rsidRDefault="004365E3" w:rsidP="00DE531C">
      <w:pPr>
        <w:spacing w:after="0" w:line="240" w:lineRule="auto"/>
      </w:pPr>
      <w:r>
        <w:separator/>
      </w:r>
    </w:p>
  </w:footnote>
  <w:footnote w:type="continuationSeparator" w:id="0">
    <w:p w:rsidR="004365E3" w:rsidRDefault="004365E3" w:rsidP="00DE53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</w:rPr>
    </w:lvl>
  </w:abstractNum>
  <w:abstractNum w:abstractNumId="1" w15:restartNumberingAfterBreak="0">
    <w:nsid w:val="04E858FA"/>
    <w:multiLevelType w:val="hybridMultilevel"/>
    <w:tmpl w:val="58D69F60"/>
    <w:lvl w:ilvl="0" w:tplc="8CC85A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B8FE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209B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C602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AC2D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1CF0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A87D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680F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08D8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B4C1564"/>
    <w:multiLevelType w:val="hybridMultilevel"/>
    <w:tmpl w:val="868C1E56"/>
    <w:lvl w:ilvl="0" w:tplc="3026AD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4CEF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BA7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A63A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0258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266D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325D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AAE0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BC46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6C693F"/>
    <w:multiLevelType w:val="hybridMultilevel"/>
    <w:tmpl w:val="21D699D2"/>
    <w:lvl w:ilvl="0" w:tplc="B318457C">
      <w:start w:val="1"/>
      <w:numFmt w:val="bullet"/>
      <w:lvlText w:val=""/>
      <w:lvlJc w:val="left"/>
      <w:pPr>
        <w:tabs>
          <w:tab w:val="num" w:pos="624"/>
        </w:tabs>
        <w:ind w:firstLine="397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D9832D1"/>
    <w:multiLevelType w:val="hybridMultilevel"/>
    <w:tmpl w:val="6CC099B0"/>
    <w:lvl w:ilvl="0" w:tplc="937EB8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E603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8E81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28B6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A880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E6C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108D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C63E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1E15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1E36FB4"/>
    <w:multiLevelType w:val="hybridMultilevel"/>
    <w:tmpl w:val="3502E466"/>
    <w:lvl w:ilvl="0" w:tplc="00000001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220FA"/>
    <w:multiLevelType w:val="hybridMultilevel"/>
    <w:tmpl w:val="10EED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024AA"/>
    <w:multiLevelType w:val="hybridMultilevel"/>
    <w:tmpl w:val="99CC92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972E4"/>
    <w:multiLevelType w:val="hybridMultilevel"/>
    <w:tmpl w:val="E77C1FF6"/>
    <w:lvl w:ilvl="0" w:tplc="0ED2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33681"/>
    <w:multiLevelType w:val="hybridMultilevel"/>
    <w:tmpl w:val="4E08DC90"/>
    <w:lvl w:ilvl="0" w:tplc="B31845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D4FA7"/>
    <w:multiLevelType w:val="hybridMultilevel"/>
    <w:tmpl w:val="081684C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B1DEB"/>
    <w:multiLevelType w:val="hybridMultilevel"/>
    <w:tmpl w:val="F87442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44C4B"/>
    <w:multiLevelType w:val="hybridMultilevel"/>
    <w:tmpl w:val="27C8A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60F3D"/>
    <w:multiLevelType w:val="hybridMultilevel"/>
    <w:tmpl w:val="D17AF5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235B46"/>
    <w:multiLevelType w:val="hybridMultilevel"/>
    <w:tmpl w:val="72663A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1B21F1"/>
    <w:multiLevelType w:val="hybridMultilevel"/>
    <w:tmpl w:val="8DCC48B4"/>
    <w:lvl w:ilvl="0" w:tplc="B31845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3571DD"/>
    <w:multiLevelType w:val="hybridMultilevel"/>
    <w:tmpl w:val="220EB812"/>
    <w:lvl w:ilvl="0" w:tplc="52BC777A">
      <w:start w:val="1"/>
      <w:numFmt w:val="lowerLetter"/>
      <w:lvlText w:val="%1)"/>
      <w:lvlJc w:val="left"/>
      <w:pPr>
        <w:tabs>
          <w:tab w:val="num" w:pos="737"/>
        </w:tabs>
        <w:ind w:firstLine="39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5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7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9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1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3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5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77" w:hanging="180"/>
      </w:pPr>
      <w:rPr>
        <w:rFonts w:cs="Times New Roman"/>
      </w:rPr>
    </w:lvl>
  </w:abstractNum>
  <w:abstractNum w:abstractNumId="17" w15:restartNumberingAfterBreak="0">
    <w:nsid w:val="4E9A4192"/>
    <w:multiLevelType w:val="hybridMultilevel"/>
    <w:tmpl w:val="737AA60C"/>
    <w:lvl w:ilvl="0" w:tplc="B318457C">
      <w:start w:val="1"/>
      <w:numFmt w:val="bullet"/>
      <w:pStyle w:val="Bulletedlis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4F9F5E51"/>
    <w:multiLevelType w:val="hybridMultilevel"/>
    <w:tmpl w:val="2896906E"/>
    <w:lvl w:ilvl="0" w:tplc="7376FE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F6A5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0E1F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9A10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4E30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7895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465F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D4A0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BCFA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0075761"/>
    <w:multiLevelType w:val="hybridMultilevel"/>
    <w:tmpl w:val="E5522DC2"/>
    <w:lvl w:ilvl="0" w:tplc="D0B67C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72F3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1E39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4C4D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08E2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B033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C243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0201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EA00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633195A"/>
    <w:multiLevelType w:val="hybridMultilevel"/>
    <w:tmpl w:val="7A0ECBA8"/>
    <w:lvl w:ilvl="0" w:tplc="0ED2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2E65EF"/>
    <w:multiLevelType w:val="hybridMultilevel"/>
    <w:tmpl w:val="B0A8D334"/>
    <w:lvl w:ilvl="0" w:tplc="0ED2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47A77"/>
    <w:multiLevelType w:val="multilevel"/>
    <w:tmpl w:val="053C14AE"/>
    <w:styleLink w:val="WWNum17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636B5854"/>
    <w:multiLevelType w:val="hybridMultilevel"/>
    <w:tmpl w:val="8C0ABCCA"/>
    <w:lvl w:ilvl="0" w:tplc="0ED2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870B5A"/>
    <w:multiLevelType w:val="hybridMultilevel"/>
    <w:tmpl w:val="52923AFE"/>
    <w:lvl w:ilvl="0" w:tplc="A67424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EA62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8A32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0DE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1CC8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266F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C2C7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C288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4436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7A3C3117"/>
    <w:multiLevelType w:val="hybridMultilevel"/>
    <w:tmpl w:val="05641C8C"/>
    <w:lvl w:ilvl="0" w:tplc="9ED4D49C">
      <w:start w:val="1"/>
      <w:numFmt w:val="bullet"/>
      <w:pStyle w:val="a-"/>
      <w:lvlText w:val="–"/>
      <w:lvlJc w:val="left"/>
      <w:pPr>
        <w:tabs>
          <w:tab w:val="num" w:pos="737"/>
        </w:tabs>
        <w:ind w:left="737" w:hanging="453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18"/>
  </w:num>
  <w:num w:numId="4">
    <w:abstractNumId w:val="1"/>
  </w:num>
  <w:num w:numId="5">
    <w:abstractNumId w:val="4"/>
  </w:num>
  <w:num w:numId="6">
    <w:abstractNumId w:val="24"/>
  </w:num>
  <w:num w:numId="7">
    <w:abstractNumId w:val="2"/>
  </w:num>
  <w:num w:numId="8">
    <w:abstractNumId w:val="20"/>
  </w:num>
  <w:num w:numId="9">
    <w:abstractNumId w:val="22"/>
  </w:num>
  <w:num w:numId="10">
    <w:abstractNumId w:val="22"/>
  </w:num>
  <w:num w:numId="11">
    <w:abstractNumId w:val="0"/>
  </w:num>
  <w:num w:numId="12">
    <w:abstractNumId w:val="23"/>
  </w:num>
  <w:num w:numId="13">
    <w:abstractNumId w:val="7"/>
  </w:num>
  <w:num w:numId="14">
    <w:abstractNumId w:val="13"/>
  </w:num>
  <w:num w:numId="15">
    <w:abstractNumId w:val="14"/>
  </w:num>
  <w:num w:numId="16">
    <w:abstractNumId w:val="5"/>
  </w:num>
  <w:num w:numId="17">
    <w:abstractNumId w:val="17"/>
  </w:num>
  <w:num w:numId="18">
    <w:abstractNumId w:val="6"/>
  </w:num>
  <w:num w:numId="19">
    <w:abstractNumId w:val="11"/>
  </w:num>
  <w:num w:numId="20">
    <w:abstractNumId w:val="21"/>
  </w:num>
  <w:num w:numId="21">
    <w:abstractNumId w:val="8"/>
  </w:num>
  <w:num w:numId="22">
    <w:abstractNumId w:val="25"/>
  </w:num>
  <w:num w:numId="23">
    <w:abstractNumId w:val="9"/>
  </w:num>
  <w:num w:numId="24">
    <w:abstractNumId w:val="15"/>
  </w:num>
  <w:num w:numId="25">
    <w:abstractNumId w:val="3"/>
  </w:num>
  <w:num w:numId="26">
    <w:abstractNumId w:val="16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52D"/>
    <w:rsid w:val="00005A09"/>
    <w:rsid w:val="0000648E"/>
    <w:rsid w:val="000072CC"/>
    <w:rsid w:val="00014EA3"/>
    <w:rsid w:val="00022C8C"/>
    <w:rsid w:val="000235CF"/>
    <w:rsid w:val="00033244"/>
    <w:rsid w:val="00034DFB"/>
    <w:rsid w:val="000429E3"/>
    <w:rsid w:val="0005055A"/>
    <w:rsid w:val="00050F9D"/>
    <w:rsid w:val="000541F8"/>
    <w:rsid w:val="00057576"/>
    <w:rsid w:val="00070C12"/>
    <w:rsid w:val="00073302"/>
    <w:rsid w:val="00074B0C"/>
    <w:rsid w:val="00074D0E"/>
    <w:rsid w:val="00077A83"/>
    <w:rsid w:val="00085EF8"/>
    <w:rsid w:val="000900AA"/>
    <w:rsid w:val="00090B79"/>
    <w:rsid w:val="00093112"/>
    <w:rsid w:val="000943E6"/>
    <w:rsid w:val="000A2872"/>
    <w:rsid w:val="000A7F96"/>
    <w:rsid w:val="000B3B8B"/>
    <w:rsid w:val="000B44CA"/>
    <w:rsid w:val="000B72B6"/>
    <w:rsid w:val="000C0302"/>
    <w:rsid w:val="000C2E4C"/>
    <w:rsid w:val="000C3763"/>
    <w:rsid w:val="000C4B41"/>
    <w:rsid w:val="000C7134"/>
    <w:rsid w:val="000D0D75"/>
    <w:rsid w:val="000D314D"/>
    <w:rsid w:val="000D6749"/>
    <w:rsid w:val="000D7014"/>
    <w:rsid w:val="000E3259"/>
    <w:rsid w:val="000E367A"/>
    <w:rsid w:val="000E3BE7"/>
    <w:rsid w:val="000F299A"/>
    <w:rsid w:val="000F523A"/>
    <w:rsid w:val="000F6D88"/>
    <w:rsid w:val="00102DB1"/>
    <w:rsid w:val="0010416B"/>
    <w:rsid w:val="00112465"/>
    <w:rsid w:val="0011484C"/>
    <w:rsid w:val="00114974"/>
    <w:rsid w:val="00117E27"/>
    <w:rsid w:val="00121849"/>
    <w:rsid w:val="00122845"/>
    <w:rsid w:val="001237AE"/>
    <w:rsid w:val="00125376"/>
    <w:rsid w:val="00126BBD"/>
    <w:rsid w:val="00131E40"/>
    <w:rsid w:val="00131FC8"/>
    <w:rsid w:val="00132208"/>
    <w:rsid w:val="00134ABE"/>
    <w:rsid w:val="001356C5"/>
    <w:rsid w:val="00137807"/>
    <w:rsid w:val="00141F06"/>
    <w:rsid w:val="00143A0E"/>
    <w:rsid w:val="0014749C"/>
    <w:rsid w:val="00150C96"/>
    <w:rsid w:val="00154065"/>
    <w:rsid w:val="00156374"/>
    <w:rsid w:val="001570F5"/>
    <w:rsid w:val="00162C96"/>
    <w:rsid w:val="00163AA1"/>
    <w:rsid w:val="001654EA"/>
    <w:rsid w:val="00173DEE"/>
    <w:rsid w:val="001801A4"/>
    <w:rsid w:val="00181386"/>
    <w:rsid w:val="00181844"/>
    <w:rsid w:val="0018601B"/>
    <w:rsid w:val="001A07D6"/>
    <w:rsid w:val="001A2614"/>
    <w:rsid w:val="001A27DE"/>
    <w:rsid w:val="001A437E"/>
    <w:rsid w:val="001A6B5A"/>
    <w:rsid w:val="001A796D"/>
    <w:rsid w:val="001B4D91"/>
    <w:rsid w:val="001B74A3"/>
    <w:rsid w:val="001B7736"/>
    <w:rsid w:val="001C01DA"/>
    <w:rsid w:val="001C5D49"/>
    <w:rsid w:val="001C7F9F"/>
    <w:rsid w:val="001D0950"/>
    <w:rsid w:val="001D257A"/>
    <w:rsid w:val="001D33C0"/>
    <w:rsid w:val="001D3F41"/>
    <w:rsid w:val="001D4CF7"/>
    <w:rsid w:val="001F1E93"/>
    <w:rsid w:val="001F5A79"/>
    <w:rsid w:val="001F789B"/>
    <w:rsid w:val="00201F73"/>
    <w:rsid w:val="00203672"/>
    <w:rsid w:val="00205636"/>
    <w:rsid w:val="00212340"/>
    <w:rsid w:val="002141DC"/>
    <w:rsid w:val="00221E3B"/>
    <w:rsid w:val="00225954"/>
    <w:rsid w:val="00226E70"/>
    <w:rsid w:val="002273E7"/>
    <w:rsid w:val="00227B6D"/>
    <w:rsid w:val="00231E5F"/>
    <w:rsid w:val="00232569"/>
    <w:rsid w:val="0023331C"/>
    <w:rsid w:val="00233B3A"/>
    <w:rsid w:val="002368B2"/>
    <w:rsid w:val="00240DA7"/>
    <w:rsid w:val="002418F0"/>
    <w:rsid w:val="00242459"/>
    <w:rsid w:val="00245986"/>
    <w:rsid w:val="00255408"/>
    <w:rsid w:val="00256604"/>
    <w:rsid w:val="00256EF6"/>
    <w:rsid w:val="00256FE3"/>
    <w:rsid w:val="00267191"/>
    <w:rsid w:val="002700A1"/>
    <w:rsid w:val="00270635"/>
    <w:rsid w:val="002743E2"/>
    <w:rsid w:val="00274F10"/>
    <w:rsid w:val="002803F0"/>
    <w:rsid w:val="00286737"/>
    <w:rsid w:val="00286E6D"/>
    <w:rsid w:val="002940FE"/>
    <w:rsid w:val="00294712"/>
    <w:rsid w:val="002958F2"/>
    <w:rsid w:val="00296CAB"/>
    <w:rsid w:val="002971D9"/>
    <w:rsid w:val="002B45A6"/>
    <w:rsid w:val="002D4F8B"/>
    <w:rsid w:val="002D5C6C"/>
    <w:rsid w:val="002D5C7E"/>
    <w:rsid w:val="002E0CCC"/>
    <w:rsid w:val="002E0DF9"/>
    <w:rsid w:val="002E3698"/>
    <w:rsid w:val="002E4C26"/>
    <w:rsid w:val="002E517B"/>
    <w:rsid w:val="002E6A78"/>
    <w:rsid w:val="002E7456"/>
    <w:rsid w:val="002E7FEB"/>
    <w:rsid w:val="002F0078"/>
    <w:rsid w:val="002F2E31"/>
    <w:rsid w:val="002F7F5C"/>
    <w:rsid w:val="0030031F"/>
    <w:rsid w:val="003031C5"/>
    <w:rsid w:val="0030648B"/>
    <w:rsid w:val="00306EF0"/>
    <w:rsid w:val="00315566"/>
    <w:rsid w:val="00317044"/>
    <w:rsid w:val="003203D1"/>
    <w:rsid w:val="0032114A"/>
    <w:rsid w:val="00321A86"/>
    <w:rsid w:val="00324736"/>
    <w:rsid w:val="003265AC"/>
    <w:rsid w:val="003279D0"/>
    <w:rsid w:val="003305D1"/>
    <w:rsid w:val="00330F14"/>
    <w:rsid w:val="003324C3"/>
    <w:rsid w:val="003337A4"/>
    <w:rsid w:val="00341D3C"/>
    <w:rsid w:val="00343D92"/>
    <w:rsid w:val="0034529A"/>
    <w:rsid w:val="00347529"/>
    <w:rsid w:val="00351ED4"/>
    <w:rsid w:val="00352072"/>
    <w:rsid w:val="00356D4C"/>
    <w:rsid w:val="003649BF"/>
    <w:rsid w:val="00371456"/>
    <w:rsid w:val="0037293B"/>
    <w:rsid w:val="0038008E"/>
    <w:rsid w:val="003934F3"/>
    <w:rsid w:val="00394AD1"/>
    <w:rsid w:val="003968F5"/>
    <w:rsid w:val="00396930"/>
    <w:rsid w:val="003A2E80"/>
    <w:rsid w:val="003B1D59"/>
    <w:rsid w:val="003B6E1C"/>
    <w:rsid w:val="003C42D0"/>
    <w:rsid w:val="003C740A"/>
    <w:rsid w:val="003D1C56"/>
    <w:rsid w:val="003D3094"/>
    <w:rsid w:val="003D30DD"/>
    <w:rsid w:val="003D483B"/>
    <w:rsid w:val="003E1B2B"/>
    <w:rsid w:val="003E2A47"/>
    <w:rsid w:val="003E6A27"/>
    <w:rsid w:val="003F48BA"/>
    <w:rsid w:val="003F4984"/>
    <w:rsid w:val="003F5999"/>
    <w:rsid w:val="003F6817"/>
    <w:rsid w:val="003F7392"/>
    <w:rsid w:val="00400209"/>
    <w:rsid w:val="004053DC"/>
    <w:rsid w:val="00410DEC"/>
    <w:rsid w:val="00420F29"/>
    <w:rsid w:val="004210E8"/>
    <w:rsid w:val="00430075"/>
    <w:rsid w:val="004300A1"/>
    <w:rsid w:val="004318C8"/>
    <w:rsid w:val="00435B90"/>
    <w:rsid w:val="004365E3"/>
    <w:rsid w:val="00446C61"/>
    <w:rsid w:val="00451358"/>
    <w:rsid w:val="00462397"/>
    <w:rsid w:val="0046390E"/>
    <w:rsid w:val="0046529F"/>
    <w:rsid w:val="00465CE6"/>
    <w:rsid w:val="00466260"/>
    <w:rsid w:val="00471310"/>
    <w:rsid w:val="004772FD"/>
    <w:rsid w:val="00483268"/>
    <w:rsid w:val="00487E68"/>
    <w:rsid w:val="004A0CEA"/>
    <w:rsid w:val="004A2092"/>
    <w:rsid w:val="004A5F83"/>
    <w:rsid w:val="004B77C9"/>
    <w:rsid w:val="004B7EF0"/>
    <w:rsid w:val="004C2047"/>
    <w:rsid w:val="004D170B"/>
    <w:rsid w:val="004D2958"/>
    <w:rsid w:val="004D29BF"/>
    <w:rsid w:val="004D3940"/>
    <w:rsid w:val="004D6CBE"/>
    <w:rsid w:val="004E1475"/>
    <w:rsid w:val="004E43BD"/>
    <w:rsid w:val="004E4EC2"/>
    <w:rsid w:val="004F38E4"/>
    <w:rsid w:val="004F6218"/>
    <w:rsid w:val="004F6AFC"/>
    <w:rsid w:val="005023EA"/>
    <w:rsid w:val="00502A84"/>
    <w:rsid w:val="00510B5C"/>
    <w:rsid w:val="00515531"/>
    <w:rsid w:val="00523CF8"/>
    <w:rsid w:val="0052463A"/>
    <w:rsid w:val="00527BDD"/>
    <w:rsid w:val="0053187E"/>
    <w:rsid w:val="005359F0"/>
    <w:rsid w:val="0053752E"/>
    <w:rsid w:val="00540979"/>
    <w:rsid w:val="00542281"/>
    <w:rsid w:val="00551969"/>
    <w:rsid w:val="00555C61"/>
    <w:rsid w:val="00557CBE"/>
    <w:rsid w:val="00562992"/>
    <w:rsid w:val="00563ABE"/>
    <w:rsid w:val="00563E13"/>
    <w:rsid w:val="0056565D"/>
    <w:rsid w:val="00566CA4"/>
    <w:rsid w:val="00575018"/>
    <w:rsid w:val="00581106"/>
    <w:rsid w:val="0058452E"/>
    <w:rsid w:val="00587608"/>
    <w:rsid w:val="00594C95"/>
    <w:rsid w:val="00594FC6"/>
    <w:rsid w:val="005A476E"/>
    <w:rsid w:val="005A6FE2"/>
    <w:rsid w:val="005B0AD3"/>
    <w:rsid w:val="005B683A"/>
    <w:rsid w:val="005C10EC"/>
    <w:rsid w:val="005C7A26"/>
    <w:rsid w:val="005D041F"/>
    <w:rsid w:val="005D0B31"/>
    <w:rsid w:val="005D2878"/>
    <w:rsid w:val="005D44A3"/>
    <w:rsid w:val="005E0003"/>
    <w:rsid w:val="005E4004"/>
    <w:rsid w:val="005E5246"/>
    <w:rsid w:val="005E5337"/>
    <w:rsid w:val="005F0ACB"/>
    <w:rsid w:val="005F64AC"/>
    <w:rsid w:val="005F7F27"/>
    <w:rsid w:val="0060334E"/>
    <w:rsid w:val="00604FBB"/>
    <w:rsid w:val="00606FED"/>
    <w:rsid w:val="00611D6E"/>
    <w:rsid w:val="00611ECC"/>
    <w:rsid w:val="0061372C"/>
    <w:rsid w:val="00614426"/>
    <w:rsid w:val="006152E3"/>
    <w:rsid w:val="00616A12"/>
    <w:rsid w:val="0062189B"/>
    <w:rsid w:val="00623672"/>
    <w:rsid w:val="006244CB"/>
    <w:rsid w:val="00625269"/>
    <w:rsid w:val="006317F9"/>
    <w:rsid w:val="00632E54"/>
    <w:rsid w:val="0063317B"/>
    <w:rsid w:val="00636AB5"/>
    <w:rsid w:val="006441DF"/>
    <w:rsid w:val="006460CD"/>
    <w:rsid w:val="00651F98"/>
    <w:rsid w:val="00664BAA"/>
    <w:rsid w:val="00664F97"/>
    <w:rsid w:val="006651E0"/>
    <w:rsid w:val="00665559"/>
    <w:rsid w:val="00666B98"/>
    <w:rsid w:val="00673D87"/>
    <w:rsid w:val="00674544"/>
    <w:rsid w:val="00675521"/>
    <w:rsid w:val="00686252"/>
    <w:rsid w:val="006875FA"/>
    <w:rsid w:val="00691387"/>
    <w:rsid w:val="006937DD"/>
    <w:rsid w:val="00697DC5"/>
    <w:rsid w:val="006A3EE4"/>
    <w:rsid w:val="006A6593"/>
    <w:rsid w:val="006B6D4E"/>
    <w:rsid w:val="006B7224"/>
    <w:rsid w:val="006C5BB3"/>
    <w:rsid w:val="006D42B3"/>
    <w:rsid w:val="006D433C"/>
    <w:rsid w:val="006D773B"/>
    <w:rsid w:val="006E3B0E"/>
    <w:rsid w:val="006F659D"/>
    <w:rsid w:val="00705437"/>
    <w:rsid w:val="00706231"/>
    <w:rsid w:val="00717A46"/>
    <w:rsid w:val="00721BE8"/>
    <w:rsid w:val="0072327D"/>
    <w:rsid w:val="00725DA2"/>
    <w:rsid w:val="007300FB"/>
    <w:rsid w:val="00730E66"/>
    <w:rsid w:val="00733CD2"/>
    <w:rsid w:val="007421DC"/>
    <w:rsid w:val="0075292C"/>
    <w:rsid w:val="00765439"/>
    <w:rsid w:val="00774822"/>
    <w:rsid w:val="00775E07"/>
    <w:rsid w:val="0077603A"/>
    <w:rsid w:val="00782F29"/>
    <w:rsid w:val="0078610A"/>
    <w:rsid w:val="007927C2"/>
    <w:rsid w:val="0079763D"/>
    <w:rsid w:val="007A654F"/>
    <w:rsid w:val="007B6BD9"/>
    <w:rsid w:val="007C0258"/>
    <w:rsid w:val="007C1859"/>
    <w:rsid w:val="007C2DD0"/>
    <w:rsid w:val="007C3909"/>
    <w:rsid w:val="007D1649"/>
    <w:rsid w:val="007D72F6"/>
    <w:rsid w:val="007E2CCB"/>
    <w:rsid w:val="007E7661"/>
    <w:rsid w:val="007F14C0"/>
    <w:rsid w:val="007F48F4"/>
    <w:rsid w:val="007F559B"/>
    <w:rsid w:val="007F715A"/>
    <w:rsid w:val="00811797"/>
    <w:rsid w:val="008207CA"/>
    <w:rsid w:val="00824448"/>
    <w:rsid w:val="0082652A"/>
    <w:rsid w:val="008337F3"/>
    <w:rsid w:val="00835477"/>
    <w:rsid w:val="008366B2"/>
    <w:rsid w:val="00840A26"/>
    <w:rsid w:val="0084345A"/>
    <w:rsid w:val="00847AE1"/>
    <w:rsid w:val="00851B0A"/>
    <w:rsid w:val="0085534B"/>
    <w:rsid w:val="00856544"/>
    <w:rsid w:val="00856A16"/>
    <w:rsid w:val="008624BD"/>
    <w:rsid w:val="00864FD2"/>
    <w:rsid w:val="008654CE"/>
    <w:rsid w:val="00866697"/>
    <w:rsid w:val="008712D0"/>
    <w:rsid w:val="008718A2"/>
    <w:rsid w:val="0087792C"/>
    <w:rsid w:val="0088022A"/>
    <w:rsid w:val="00881AA0"/>
    <w:rsid w:val="00891108"/>
    <w:rsid w:val="008A501B"/>
    <w:rsid w:val="008A54F9"/>
    <w:rsid w:val="008A5BF4"/>
    <w:rsid w:val="008A66D5"/>
    <w:rsid w:val="008B0AE5"/>
    <w:rsid w:val="008C0B7E"/>
    <w:rsid w:val="008C0D9D"/>
    <w:rsid w:val="008C51C9"/>
    <w:rsid w:val="008C6CA2"/>
    <w:rsid w:val="008D2A22"/>
    <w:rsid w:val="008D6B52"/>
    <w:rsid w:val="008E07F7"/>
    <w:rsid w:val="008E0D27"/>
    <w:rsid w:val="008E53F6"/>
    <w:rsid w:val="008F0377"/>
    <w:rsid w:val="008F126F"/>
    <w:rsid w:val="008F7B7C"/>
    <w:rsid w:val="00900B89"/>
    <w:rsid w:val="00912E91"/>
    <w:rsid w:val="0091306A"/>
    <w:rsid w:val="009164D9"/>
    <w:rsid w:val="00916515"/>
    <w:rsid w:val="009239C1"/>
    <w:rsid w:val="00923A7E"/>
    <w:rsid w:val="009262AD"/>
    <w:rsid w:val="00942FD0"/>
    <w:rsid w:val="00946205"/>
    <w:rsid w:val="00952C7B"/>
    <w:rsid w:val="00957CAD"/>
    <w:rsid w:val="0096287A"/>
    <w:rsid w:val="0097442C"/>
    <w:rsid w:val="00974D3B"/>
    <w:rsid w:val="00977693"/>
    <w:rsid w:val="0098163A"/>
    <w:rsid w:val="00986610"/>
    <w:rsid w:val="00986624"/>
    <w:rsid w:val="00992E98"/>
    <w:rsid w:val="009934A5"/>
    <w:rsid w:val="009955B8"/>
    <w:rsid w:val="0099667A"/>
    <w:rsid w:val="009A18A1"/>
    <w:rsid w:val="009A2011"/>
    <w:rsid w:val="009A75A7"/>
    <w:rsid w:val="009A79EC"/>
    <w:rsid w:val="009B052D"/>
    <w:rsid w:val="009B4A45"/>
    <w:rsid w:val="009B5EDE"/>
    <w:rsid w:val="009C6D5A"/>
    <w:rsid w:val="009C78E5"/>
    <w:rsid w:val="009D19CE"/>
    <w:rsid w:val="009D44B5"/>
    <w:rsid w:val="009D7180"/>
    <w:rsid w:val="009E0521"/>
    <w:rsid w:val="009F14CE"/>
    <w:rsid w:val="009F3BD2"/>
    <w:rsid w:val="009F46F9"/>
    <w:rsid w:val="009F7161"/>
    <w:rsid w:val="00A001D2"/>
    <w:rsid w:val="00A01977"/>
    <w:rsid w:val="00A0244F"/>
    <w:rsid w:val="00A12095"/>
    <w:rsid w:val="00A12A26"/>
    <w:rsid w:val="00A156F5"/>
    <w:rsid w:val="00A20CFF"/>
    <w:rsid w:val="00A20F3E"/>
    <w:rsid w:val="00A21B1A"/>
    <w:rsid w:val="00A21DA5"/>
    <w:rsid w:val="00A27AF9"/>
    <w:rsid w:val="00A31C22"/>
    <w:rsid w:val="00A334B3"/>
    <w:rsid w:val="00A36C37"/>
    <w:rsid w:val="00A44C5E"/>
    <w:rsid w:val="00A461FD"/>
    <w:rsid w:val="00A50480"/>
    <w:rsid w:val="00A546DD"/>
    <w:rsid w:val="00A60BD2"/>
    <w:rsid w:val="00A6261D"/>
    <w:rsid w:val="00A652CB"/>
    <w:rsid w:val="00A7659D"/>
    <w:rsid w:val="00A77AFB"/>
    <w:rsid w:val="00A817E0"/>
    <w:rsid w:val="00A85AA6"/>
    <w:rsid w:val="00A85C3D"/>
    <w:rsid w:val="00A9194D"/>
    <w:rsid w:val="00A926F3"/>
    <w:rsid w:val="00A96C4D"/>
    <w:rsid w:val="00AA01DD"/>
    <w:rsid w:val="00AA116E"/>
    <w:rsid w:val="00AA2A3F"/>
    <w:rsid w:val="00AA3F65"/>
    <w:rsid w:val="00AA47B8"/>
    <w:rsid w:val="00AB03BF"/>
    <w:rsid w:val="00AB3EA0"/>
    <w:rsid w:val="00AC602F"/>
    <w:rsid w:val="00AC730F"/>
    <w:rsid w:val="00AD4C41"/>
    <w:rsid w:val="00AE235D"/>
    <w:rsid w:val="00AF2796"/>
    <w:rsid w:val="00AF76B8"/>
    <w:rsid w:val="00B008C4"/>
    <w:rsid w:val="00B011B1"/>
    <w:rsid w:val="00B034C4"/>
    <w:rsid w:val="00B07526"/>
    <w:rsid w:val="00B138A7"/>
    <w:rsid w:val="00B13BBF"/>
    <w:rsid w:val="00B149F4"/>
    <w:rsid w:val="00B154A9"/>
    <w:rsid w:val="00B17AB7"/>
    <w:rsid w:val="00B23D5C"/>
    <w:rsid w:val="00B24CDB"/>
    <w:rsid w:val="00B2613C"/>
    <w:rsid w:val="00B26FEF"/>
    <w:rsid w:val="00B36009"/>
    <w:rsid w:val="00B364DF"/>
    <w:rsid w:val="00B40A00"/>
    <w:rsid w:val="00B51E74"/>
    <w:rsid w:val="00B53141"/>
    <w:rsid w:val="00B5409D"/>
    <w:rsid w:val="00B55343"/>
    <w:rsid w:val="00B563DE"/>
    <w:rsid w:val="00B6104D"/>
    <w:rsid w:val="00B6430D"/>
    <w:rsid w:val="00B66444"/>
    <w:rsid w:val="00B70AD1"/>
    <w:rsid w:val="00B762EB"/>
    <w:rsid w:val="00B779D9"/>
    <w:rsid w:val="00B77E82"/>
    <w:rsid w:val="00B82EA6"/>
    <w:rsid w:val="00B83A63"/>
    <w:rsid w:val="00B83EAB"/>
    <w:rsid w:val="00B877BB"/>
    <w:rsid w:val="00BA6036"/>
    <w:rsid w:val="00BB1C6D"/>
    <w:rsid w:val="00BB4D32"/>
    <w:rsid w:val="00BC0861"/>
    <w:rsid w:val="00BC0975"/>
    <w:rsid w:val="00BC112D"/>
    <w:rsid w:val="00BC334C"/>
    <w:rsid w:val="00BD0582"/>
    <w:rsid w:val="00BD1957"/>
    <w:rsid w:val="00BD270E"/>
    <w:rsid w:val="00BE03FC"/>
    <w:rsid w:val="00BE53B4"/>
    <w:rsid w:val="00BE6380"/>
    <w:rsid w:val="00BF06EE"/>
    <w:rsid w:val="00BF1FA5"/>
    <w:rsid w:val="00BF43E7"/>
    <w:rsid w:val="00BF6C53"/>
    <w:rsid w:val="00BF7193"/>
    <w:rsid w:val="00C00ECF"/>
    <w:rsid w:val="00C05B99"/>
    <w:rsid w:val="00C07137"/>
    <w:rsid w:val="00C10A22"/>
    <w:rsid w:val="00C120B1"/>
    <w:rsid w:val="00C12960"/>
    <w:rsid w:val="00C12B6F"/>
    <w:rsid w:val="00C13902"/>
    <w:rsid w:val="00C1724B"/>
    <w:rsid w:val="00C17608"/>
    <w:rsid w:val="00C21112"/>
    <w:rsid w:val="00C23E6D"/>
    <w:rsid w:val="00C30E32"/>
    <w:rsid w:val="00C30FBC"/>
    <w:rsid w:val="00C36CEE"/>
    <w:rsid w:val="00C43627"/>
    <w:rsid w:val="00C46944"/>
    <w:rsid w:val="00C47B7D"/>
    <w:rsid w:val="00C5209D"/>
    <w:rsid w:val="00C523F3"/>
    <w:rsid w:val="00C57EA4"/>
    <w:rsid w:val="00C624E9"/>
    <w:rsid w:val="00C731A2"/>
    <w:rsid w:val="00C7396C"/>
    <w:rsid w:val="00C74CA7"/>
    <w:rsid w:val="00C771DF"/>
    <w:rsid w:val="00C77778"/>
    <w:rsid w:val="00C77AAE"/>
    <w:rsid w:val="00C80A94"/>
    <w:rsid w:val="00C82353"/>
    <w:rsid w:val="00C8539E"/>
    <w:rsid w:val="00C87CD7"/>
    <w:rsid w:val="00CA0ABA"/>
    <w:rsid w:val="00CA10E9"/>
    <w:rsid w:val="00CA2B5F"/>
    <w:rsid w:val="00CA33DF"/>
    <w:rsid w:val="00CB05CF"/>
    <w:rsid w:val="00CB65C0"/>
    <w:rsid w:val="00CB6CA6"/>
    <w:rsid w:val="00CC0A28"/>
    <w:rsid w:val="00CC2C9E"/>
    <w:rsid w:val="00CC3A9B"/>
    <w:rsid w:val="00CC508D"/>
    <w:rsid w:val="00CD0AB8"/>
    <w:rsid w:val="00CD2506"/>
    <w:rsid w:val="00CD3495"/>
    <w:rsid w:val="00CD37F8"/>
    <w:rsid w:val="00CD46A8"/>
    <w:rsid w:val="00CE0CC5"/>
    <w:rsid w:val="00CE0FD5"/>
    <w:rsid w:val="00CE12B0"/>
    <w:rsid w:val="00CE1C41"/>
    <w:rsid w:val="00CE74F9"/>
    <w:rsid w:val="00D0488D"/>
    <w:rsid w:val="00D14FD3"/>
    <w:rsid w:val="00D15E1D"/>
    <w:rsid w:val="00D21163"/>
    <w:rsid w:val="00D22014"/>
    <w:rsid w:val="00D225DA"/>
    <w:rsid w:val="00D3084C"/>
    <w:rsid w:val="00D3189E"/>
    <w:rsid w:val="00D341C0"/>
    <w:rsid w:val="00D3562D"/>
    <w:rsid w:val="00D41599"/>
    <w:rsid w:val="00D4670F"/>
    <w:rsid w:val="00D476C2"/>
    <w:rsid w:val="00D674A7"/>
    <w:rsid w:val="00D71886"/>
    <w:rsid w:val="00D744FB"/>
    <w:rsid w:val="00D80596"/>
    <w:rsid w:val="00D813DB"/>
    <w:rsid w:val="00D84B1C"/>
    <w:rsid w:val="00D90D6F"/>
    <w:rsid w:val="00D92CC1"/>
    <w:rsid w:val="00DB2946"/>
    <w:rsid w:val="00DC5AB7"/>
    <w:rsid w:val="00DD024A"/>
    <w:rsid w:val="00DD34A3"/>
    <w:rsid w:val="00DD5061"/>
    <w:rsid w:val="00DD6E02"/>
    <w:rsid w:val="00DE24E3"/>
    <w:rsid w:val="00DE531C"/>
    <w:rsid w:val="00DE59EA"/>
    <w:rsid w:val="00E03A5C"/>
    <w:rsid w:val="00E05613"/>
    <w:rsid w:val="00E05DCD"/>
    <w:rsid w:val="00E062A0"/>
    <w:rsid w:val="00E113B2"/>
    <w:rsid w:val="00E116B3"/>
    <w:rsid w:val="00E120C3"/>
    <w:rsid w:val="00E12E3E"/>
    <w:rsid w:val="00E1532B"/>
    <w:rsid w:val="00E22AFC"/>
    <w:rsid w:val="00E23D89"/>
    <w:rsid w:val="00E27804"/>
    <w:rsid w:val="00E27841"/>
    <w:rsid w:val="00E32E6B"/>
    <w:rsid w:val="00E340D7"/>
    <w:rsid w:val="00E36F04"/>
    <w:rsid w:val="00E41FFF"/>
    <w:rsid w:val="00E43070"/>
    <w:rsid w:val="00E447BF"/>
    <w:rsid w:val="00E530AE"/>
    <w:rsid w:val="00E6381D"/>
    <w:rsid w:val="00E63D4F"/>
    <w:rsid w:val="00E649CC"/>
    <w:rsid w:val="00E86AE4"/>
    <w:rsid w:val="00E86B54"/>
    <w:rsid w:val="00EA3BAE"/>
    <w:rsid w:val="00EA47D8"/>
    <w:rsid w:val="00EA6E7B"/>
    <w:rsid w:val="00EB1382"/>
    <w:rsid w:val="00EB4931"/>
    <w:rsid w:val="00EB6288"/>
    <w:rsid w:val="00EC19CA"/>
    <w:rsid w:val="00EC632A"/>
    <w:rsid w:val="00EC681C"/>
    <w:rsid w:val="00ED4597"/>
    <w:rsid w:val="00ED692F"/>
    <w:rsid w:val="00ED709D"/>
    <w:rsid w:val="00EE0244"/>
    <w:rsid w:val="00EE19CD"/>
    <w:rsid w:val="00EE38A7"/>
    <w:rsid w:val="00EE7E18"/>
    <w:rsid w:val="00EF02F4"/>
    <w:rsid w:val="00EF2F0A"/>
    <w:rsid w:val="00EF39C7"/>
    <w:rsid w:val="00F06DEC"/>
    <w:rsid w:val="00F125C1"/>
    <w:rsid w:val="00F14ACE"/>
    <w:rsid w:val="00F171FE"/>
    <w:rsid w:val="00F32657"/>
    <w:rsid w:val="00F33074"/>
    <w:rsid w:val="00F34DAC"/>
    <w:rsid w:val="00F42ABD"/>
    <w:rsid w:val="00F44254"/>
    <w:rsid w:val="00F45D47"/>
    <w:rsid w:val="00F50D33"/>
    <w:rsid w:val="00F51DED"/>
    <w:rsid w:val="00F52051"/>
    <w:rsid w:val="00F56B22"/>
    <w:rsid w:val="00F65FB4"/>
    <w:rsid w:val="00F67C97"/>
    <w:rsid w:val="00F74372"/>
    <w:rsid w:val="00F7467D"/>
    <w:rsid w:val="00F775FE"/>
    <w:rsid w:val="00F850F9"/>
    <w:rsid w:val="00F877CE"/>
    <w:rsid w:val="00F87912"/>
    <w:rsid w:val="00F90501"/>
    <w:rsid w:val="00F94BF2"/>
    <w:rsid w:val="00F9730D"/>
    <w:rsid w:val="00FA04EC"/>
    <w:rsid w:val="00FA280B"/>
    <w:rsid w:val="00FA6A1D"/>
    <w:rsid w:val="00FB7754"/>
    <w:rsid w:val="00FC321F"/>
    <w:rsid w:val="00FD1A1A"/>
    <w:rsid w:val="00FD1F80"/>
    <w:rsid w:val="00FE2021"/>
    <w:rsid w:val="00FE2C9B"/>
    <w:rsid w:val="00FE5AD6"/>
    <w:rsid w:val="00FF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12279"/>
  <w15:chartTrackingRefBased/>
  <w15:docId w15:val="{0F7A7548-2EA5-4722-BBEA-E9D71D75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F2F0A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43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4E43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052D"/>
    <w:pPr>
      <w:ind w:left="720"/>
      <w:contextualSpacing/>
    </w:pPr>
  </w:style>
  <w:style w:type="paragraph" w:customStyle="1" w:styleId="Standard">
    <w:name w:val="Standard"/>
    <w:rsid w:val="000B44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rsid w:val="00C10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3">
    <w:name w:val="Plain Table 3"/>
    <w:basedOn w:val="Standardowy"/>
    <w:uiPriority w:val="43"/>
    <w:rsid w:val="00C10A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5">
    <w:name w:val="Plain Table 5"/>
    <w:basedOn w:val="Standardowy"/>
    <w:uiPriority w:val="45"/>
    <w:rsid w:val="00C10A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tlid-translation">
    <w:name w:val="tlid-translation"/>
    <w:basedOn w:val="Domylnaczcionkaakapitu"/>
    <w:rsid w:val="00306EF0"/>
  </w:style>
  <w:style w:type="paragraph" w:styleId="Tekstprzypisudolnego">
    <w:name w:val="footnote text"/>
    <w:aliases w:val="Podrozdział Znak Znak,Podrozdział Znak,Podrozdział,single space,FOOTNOTES,fn,Fußnote,Podrozdzia3"/>
    <w:basedOn w:val="Normalny"/>
    <w:link w:val="TekstprzypisudolnegoZnak"/>
    <w:unhideWhenUsed/>
    <w:qFormat/>
    <w:rsid w:val="00DE531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 Znak Znak,Podrozdział Znak Znak1,Podrozdział Znak1,single space Znak,FOOTNOTES Znak,fn Znak,Fußnote Znak,Podrozdzia3 Znak"/>
    <w:basedOn w:val="Domylnaczcionkaakapitu"/>
    <w:link w:val="Tekstprzypisudolnego"/>
    <w:rsid w:val="00DE531C"/>
    <w:rPr>
      <w:sz w:val="20"/>
      <w:szCs w:val="20"/>
    </w:rPr>
  </w:style>
  <w:style w:type="character" w:styleId="Odwoanieprzypisudolnego">
    <w:name w:val="footnote reference"/>
    <w:aliases w:val="Odwołanie przypisu,Footnote symbol,Footnote Reference Number,Odsy³acz przypisu dolnego 1,Odsy3acz przypisu dolnego 1"/>
    <w:basedOn w:val="Domylnaczcionkaakapitu"/>
    <w:unhideWhenUsed/>
    <w:rsid w:val="00DE531C"/>
    <w:rPr>
      <w:vertAlign w:val="superscript"/>
    </w:rPr>
  </w:style>
  <w:style w:type="character" w:styleId="Hipercze">
    <w:name w:val="Hyperlink"/>
    <w:basedOn w:val="Domylnaczcionkaakapitu"/>
    <w:unhideWhenUsed/>
    <w:rsid w:val="00DE531C"/>
    <w:rPr>
      <w:color w:val="0000FF"/>
      <w:u w:val="single"/>
    </w:rPr>
  </w:style>
  <w:style w:type="numbering" w:customStyle="1" w:styleId="WWNum17">
    <w:name w:val="WWNum17"/>
    <w:basedOn w:val="Bezlisty"/>
    <w:rsid w:val="00F42ABD"/>
    <w:pPr>
      <w:numPr>
        <w:numId w:val="9"/>
      </w:numPr>
    </w:pPr>
  </w:style>
  <w:style w:type="character" w:customStyle="1" w:styleId="Znakiprzypiswdolnych">
    <w:name w:val="Znaki przypisów dolnych"/>
    <w:rsid w:val="00614426"/>
    <w:rPr>
      <w:vertAlign w:val="superscript"/>
    </w:rPr>
  </w:style>
  <w:style w:type="paragraph" w:customStyle="1" w:styleId="TekstpodstwcityUE">
    <w:name w:val="Tekst podst.::wcięty (UE)"/>
    <w:basedOn w:val="Normalny"/>
    <w:qFormat/>
    <w:rsid w:val="007F559B"/>
    <w:pPr>
      <w:suppressAutoHyphens/>
      <w:spacing w:after="120" w:line="260" w:lineRule="atLeast"/>
      <w:ind w:firstLine="340"/>
      <w:jc w:val="both"/>
    </w:pPr>
    <w:rPr>
      <w:rFonts w:ascii="Times New Roman" w:eastAsia="Calibri" w:hAnsi="Times New Roman" w:cs="Times New Roman"/>
      <w:spacing w:val="-2"/>
      <w:lang w:eastAsia="ar-SA"/>
    </w:rPr>
  </w:style>
  <w:style w:type="character" w:styleId="Pogrubienie">
    <w:name w:val="Strong"/>
    <w:uiPriority w:val="22"/>
    <w:qFormat/>
    <w:rsid w:val="00EB1382"/>
    <w:rPr>
      <w:b/>
      <w:bCs/>
    </w:rPr>
  </w:style>
  <w:style w:type="table" w:styleId="Siatkatabelijasna">
    <w:name w:val="Grid Table Light"/>
    <w:basedOn w:val="Standardowy"/>
    <w:uiPriority w:val="40"/>
    <w:rsid w:val="00274F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CA10E9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08C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08C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08C4"/>
    <w:rPr>
      <w:vertAlign w:val="superscript"/>
    </w:rPr>
  </w:style>
  <w:style w:type="paragraph" w:customStyle="1" w:styleId="Bulletedlist">
    <w:name w:val="Bulleted list"/>
    <w:basedOn w:val="Normalny"/>
    <w:rsid w:val="00AC602F"/>
    <w:pPr>
      <w:numPr>
        <w:numId w:val="17"/>
      </w:numPr>
    </w:pPr>
  </w:style>
  <w:style w:type="character" w:customStyle="1" w:styleId="orcid-id-https">
    <w:name w:val="orcid-id-https"/>
    <w:basedOn w:val="Domylnaczcionkaakapitu"/>
    <w:rsid w:val="00D80596"/>
  </w:style>
  <w:style w:type="character" w:customStyle="1" w:styleId="normaltextrun">
    <w:name w:val="normaltextrun"/>
    <w:basedOn w:val="Domylnaczcionkaakapitu"/>
    <w:rsid w:val="007B6BD9"/>
  </w:style>
  <w:style w:type="paragraph" w:customStyle="1" w:styleId="Default">
    <w:name w:val="Default"/>
    <w:rsid w:val="00150C96"/>
    <w:pPr>
      <w:autoSpaceDE w:val="0"/>
      <w:autoSpaceDN w:val="0"/>
      <w:adjustRightInd w:val="0"/>
      <w:spacing w:after="0" w:line="240" w:lineRule="auto"/>
    </w:pPr>
    <w:rPr>
      <w:rFonts w:ascii="Source Sans Pro" w:hAnsi="Source Sans Pro" w:cs="Source Sans Pro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D4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4597"/>
  </w:style>
  <w:style w:type="paragraph" w:styleId="Stopka">
    <w:name w:val="footer"/>
    <w:basedOn w:val="Normalny"/>
    <w:link w:val="StopkaZnak"/>
    <w:uiPriority w:val="99"/>
    <w:unhideWhenUsed/>
    <w:rsid w:val="00ED4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4597"/>
  </w:style>
  <w:style w:type="character" w:customStyle="1" w:styleId="q4iawc">
    <w:name w:val="q4iawc"/>
    <w:basedOn w:val="Domylnaczcionkaakapitu"/>
    <w:rsid w:val="00686252"/>
  </w:style>
  <w:style w:type="character" w:customStyle="1" w:styleId="markedcontent">
    <w:name w:val="markedcontent"/>
    <w:basedOn w:val="Domylnaczcionkaakapitu"/>
    <w:rsid w:val="008A54F9"/>
  </w:style>
  <w:style w:type="character" w:styleId="Uwydatnienie">
    <w:name w:val="Emphasis"/>
    <w:basedOn w:val="Domylnaczcionkaakapitu"/>
    <w:uiPriority w:val="20"/>
    <w:qFormat/>
    <w:rsid w:val="009955B8"/>
    <w:rPr>
      <w:i/>
      <w:iCs/>
    </w:rPr>
  </w:style>
  <w:style w:type="character" w:customStyle="1" w:styleId="A10">
    <w:name w:val="A10"/>
    <w:uiPriority w:val="99"/>
    <w:rsid w:val="0091306A"/>
    <w:rPr>
      <w:rFonts w:cs="Caslon 540"/>
      <w:color w:val="000000"/>
      <w:sz w:val="16"/>
      <w:szCs w:val="16"/>
    </w:rPr>
  </w:style>
  <w:style w:type="table" w:styleId="Zwykatabela2">
    <w:name w:val="Plain Table 2"/>
    <w:basedOn w:val="Standardowy"/>
    <w:uiPriority w:val="42"/>
    <w:rsid w:val="00EC19C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viiyi">
    <w:name w:val="viiyi"/>
    <w:basedOn w:val="Domylnaczcionkaakapitu"/>
    <w:rsid w:val="00923A7E"/>
  </w:style>
  <w:style w:type="character" w:customStyle="1" w:styleId="Nagwek3Znak">
    <w:name w:val="Nagłówek 3 Znak"/>
    <w:basedOn w:val="Domylnaczcionkaakapitu"/>
    <w:link w:val="Nagwek3"/>
    <w:uiPriority w:val="9"/>
    <w:rsid w:val="004E43B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E43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9050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752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TML-cytat">
    <w:name w:val="HTML Cite"/>
    <w:basedOn w:val="Domylnaczcionkaakapitu"/>
    <w:uiPriority w:val="99"/>
    <w:semiHidden/>
    <w:unhideWhenUsed/>
    <w:rsid w:val="00C43627"/>
    <w:rPr>
      <w:i/>
      <w:iCs/>
    </w:rPr>
  </w:style>
  <w:style w:type="character" w:customStyle="1" w:styleId="cite-lastname">
    <w:name w:val="cite-lastname"/>
    <w:basedOn w:val="Domylnaczcionkaakapitu"/>
    <w:rsid w:val="00C43627"/>
  </w:style>
  <w:style w:type="character" w:customStyle="1" w:styleId="cite-name-after">
    <w:name w:val="cite-name-after"/>
    <w:basedOn w:val="Domylnaczcionkaakapitu"/>
    <w:rsid w:val="00C43627"/>
  </w:style>
  <w:style w:type="character" w:customStyle="1" w:styleId="cite-name-initials">
    <w:name w:val="cite-name-initials"/>
    <w:basedOn w:val="Domylnaczcionkaakapitu"/>
    <w:rsid w:val="00C43627"/>
  </w:style>
  <w:style w:type="paragraph" w:customStyle="1" w:styleId="Pa12">
    <w:name w:val="Pa12"/>
    <w:basedOn w:val="Default"/>
    <w:next w:val="Default"/>
    <w:uiPriority w:val="99"/>
    <w:rsid w:val="00B77E82"/>
    <w:pPr>
      <w:spacing w:line="201" w:lineRule="atLeast"/>
    </w:pPr>
    <w:rPr>
      <w:rFonts w:ascii="Times" w:hAnsi="Times" w:cstheme="minorBidi"/>
      <w:color w:val="auto"/>
    </w:rPr>
  </w:style>
  <w:style w:type="paragraph" w:customStyle="1" w:styleId="aaTekst">
    <w:name w:val="aaTekst"/>
    <w:basedOn w:val="Normalny"/>
    <w:rsid w:val="00D744FB"/>
    <w:pPr>
      <w:spacing w:after="0" w:line="240" w:lineRule="auto"/>
      <w:ind w:firstLine="284"/>
      <w:jc w:val="both"/>
    </w:pPr>
    <w:rPr>
      <w:rFonts w:ascii="Garamond" w:eastAsia="Times New Roman" w:hAnsi="Garamond" w:cs="Times New Roman"/>
      <w:szCs w:val="24"/>
      <w:lang w:eastAsia="pl-PL"/>
    </w:rPr>
  </w:style>
  <w:style w:type="paragraph" w:customStyle="1" w:styleId="a-">
    <w:name w:val="a-"/>
    <w:basedOn w:val="aaTekst"/>
    <w:rsid w:val="00D744FB"/>
    <w:pPr>
      <w:numPr>
        <w:numId w:val="22"/>
      </w:numPr>
      <w:ind w:left="738" w:hanging="454"/>
    </w:pPr>
  </w:style>
  <w:style w:type="paragraph" w:customStyle="1" w:styleId="Newparagraph">
    <w:name w:val="New paragraph"/>
    <w:basedOn w:val="Normalny"/>
    <w:qFormat/>
    <w:rsid w:val="00005A09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kapitzlist1">
    <w:name w:val="Akapit z listą1"/>
    <w:basedOn w:val="Normalny"/>
    <w:link w:val="ListParagraphChar"/>
    <w:rsid w:val="00CA0ABA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basedOn w:val="Domylnaczcionkaakapitu"/>
    <w:link w:val="Akapitzlist1"/>
    <w:locked/>
    <w:rsid w:val="00CA0ABA"/>
    <w:rPr>
      <w:rFonts w:ascii="Calibri" w:eastAsia="Times New Roman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9628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8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7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7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4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8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6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3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0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3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81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2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5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2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0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6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KRAK&#211;W%20JESIE&#323;%20JAKO&#346;&#262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KRAK&#211;W%20JESIE&#323;%20JAKO&#346;&#262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KRAK&#211;W%20JESIE&#323;%20JAKO&#346;&#262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KRAK&#211;W%20JESIE&#323;%20JAKO&#346;&#262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KRAK&#211;W%20JESIE&#323;%20JAKO&#346;&#262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KRAK&#211;W%20JESIE&#323;%20JAKO&#346;&#262;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2840384747824891"/>
          <c:y val="5.8299039780521263E-2"/>
          <c:w val="0.63788633563661679"/>
          <c:h val="0.8827219899981637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Arkusz2!$C$32</c:f>
              <c:strCache>
                <c:ptCount val="1"/>
                <c:pt idx="0">
                  <c:v>PERS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Arkusz2!$B$33:$B$51</c:f>
              <c:strCache>
                <c:ptCount val="19"/>
                <c:pt idx="0">
                  <c:v>SOPHARMA</c:v>
                </c:pt>
                <c:pt idx="1">
                  <c:v>CITY SERVICE</c:v>
                </c:pt>
                <c:pt idx="2">
                  <c:v>IMC</c:v>
                </c:pt>
                <c:pt idx="3">
                  <c:v>EUROHOLDING</c:v>
                </c:pt>
                <c:pt idx="4">
                  <c:v>KERNEL</c:v>
                </c:pt>
                <c:pt idx="5">
                  <c:v>AGROTON</c:v>
                </c:pt>
                <c:pt idx="6">
                  <c:v>PHOTON</c:v>
                </c:pt>
                <c:pt idx="7">
                  <c:v>MOL</c:v>
                </c:pt>
                <c:pt idx="8">
                  <c:v>ASTARTA</c:v>
                </c:pt>
                <c:pt idx="9">
                  <c:v>KSG AGRO</c:v>
                </c:pt>
                <c:pt idx="10">
                  <c:v>NOVATURAS</c:v>
                </c:pt>
                <c:pt idx="11">
                  <c:v>ADSIC</c:v>
                </c:pt>
                <c:pt idx="12">
                  <c:v>OVOSTAR UNION</c:v>
                </c:pt>
                <c:pt idx="13">
                  <c:v>MILKILAND</c:v>
                </c:pt>
                <c:pt idx="14">
                  <c:v>COAL ENERGY</c:v>
                </c:pt>
                <c:pt idx="15">
                  <c:v>AGROLIGA</c:v>
                </c:pt>
                <c:pt idx="16">
                  <c:v>CEZ</c:v>
                </c:pt>
                <c:pt idx="17">
                  <c:v>KRKA</c:v>
                </c:pt>
                <c:pt idx="18">
                  <c:v>TATRY MOUNTAIN RESORT</c:v>
                </c:pt>
              </c:strCache>
            </c:strRef>
          </c:cat>
          <c:val>
            <c:numRef>
              <c:f>Arkusz2!$C$33:$C$51</c:f>
              <c:numCache>
                <c:formatCode>0.00</c:formatCode>
                <c:ptCount val="19"/>
                <c:pt idx="0">
                  <c:v>-0.30579184283095873</c:v>
                </c:pt>
                <c:pt idx="1">
                  <c:v>-0.18778822075392987</c:v>
                </c:pt>
                <c:pt idx="2">
                  <c:v>-0.14643994280294981</c:v>
                </c:pt>
                <c:pt idx="3">
                  <c:v>5.1926772060192673E-2</c:v>
                </c:pt>
                <c:pt idx="4">
                  <c:v>0.10926563431462094</c:v>
                </c:pt>
                <c:pt idx="5">
                  <c:v>0.16877211774629514</c:v>
                </c:pt>
                <c:pt idx="6">
                  <c:v>0.24703397129541757</c:v>
                </c:pt>
                <c:pt idx="7">
                  <c:v>0.28161844368046762</c:v>
                </c:pt>
                <c:pt idx="8">
                  <c:v>0.31678284815718993</c:v>
                </c:pt>
                <c:pt idx="9">
                  <c:v>0.39074479708429899</c:v>
                </c:pt>
                <c:pt idx="10">
                  <c:v>0.46045317981359035</c:v>
                </c:pt>
                <c:pt idx="11">
                  <c:v>0.46264156050139232</c:v>
                </c:pt>
                <c:pt idx="12">
                  <c:v>0.47940524478389301</c:v>
                </c:pt>
                <c:pt idx="13">
                  <c:v>0.51182303408815655</c:v>
                </c:pt>
                <c:pt idx="14">
                  <c:v>0.62297998164798707</c:v>
                </c:pt>
                <c:pt idx="15">
                  <c:v>0.63750126461593914</c:v>
                </c:pt>
                <c:pt idx="16">
                  <c:v>0.85889909107123164</c:v>
                </c:pt>
                <c:pt idx="17">
                  <c:v>1.1368529154795723</c:v>
                </c:pt>
                <c:pt idx="18">
                  <c:v>1.4448219777743485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8D-41C0-9349-870B00C2F36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21368575"/>
        <c:axId val="697922335"/>
      </c:barChart>
      <c:catAx>
        <c:axId val="62136857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97922335"/>
        <c:crosses val="autoZero"/>
        <c:auto val="1"/>
        <c:lblAlgn val="ctr"/>
        <c:lblOffset val="100"/>
        <c:noMultiLvlLbl val="0"/>
      </c:catAx>
      <c:valAx>
        <c:axId val="69792233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136857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Arkusz2!$C$54</c:f>
              <c:strCache>
                <c:ptCount val="1"/>
                <c:pt idx="0">
                  <c:v>PERS_CFO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Arkusz2!$B$55:$B$73</c:f>
              <c:strCache>
                <c:ptCount val="19"/>
                <c:pt idx="0">
                  <c:v>SOPHARMA</c:v>
                </c:pt>
                <c:pt idx="1">
                  <c:v>OVOSTAR UNION</c:v>
                </c:pt>
                <c:pt idx="2">
                  <c:v>CITY SERVICE</c:v>
                </c:pt>
                <c:pt idx="3">
                  <c:v>AGROTON</c:v>
                </c:pt>
                <c:pt idx="4">
                  <c:v>PHOTON</c:v>
                </c:pt>
                <c:pt idx="5">
                  <c:v>NOVATURAS</c:v>
                </c:pt>
                <c:pt idx="6">
                  <c:v>EUROHOLDING</c:v>
                </c:pt>
                <c:pt idx="7">
                  <c:v>MOL</c:v>
                </c:pt>
                <c:pt idx="8">
                  <c:v>IMC</c:v>
                </c:pt>
                <c:pt idx="9">
                  <c:v>KERNEL</c:v>
                </c:pt>
                <c:pt idx="10">
                  <c:v>ASTARTA</c:v>
                </c:pt>
                <c:pt idx="11">
                  <c:v>COAL ENERGY</c:v>
                </c:pt>
                <c:pt idx="12">
                  <c:v>AGROLIGA</c:v>
                </c:pt>
                <c:pt idx="13">
                  <c:v>ADSIC</c:v>
                </c:pt>
                <c:pt idx="14">
                  <c:v>CEZ</c:v>
                </c:pt>
                <c:pt idx="15">
                  <c:v>TATRY MOUNTAIN RESORT</c:v>
                </c:pt>
                <c:pt idx="16">
                  <c:v>KRKA</c:v>
                </c:pt>
                <c:pt idx="17">
                  <c:v>KSG AGRO</c:v>
                </c:pt>
                <c:pt idx="18">
                  <c:v>MILKILAND</c:v>
                </c:pt>
              </c:strCache>
            </c:strRef>
          </c:cat>
          <c:val>
            <c:numRef>
              <c:f>Arkusz2!$C$55:$C$73</c:f>
              <c:numCache>
                <c:formatCode>0.00</c:formatCode>
                <c:ptCount val="19"/>
                <c:pt idx="0">
                  <c:v>-0.97772101820137536</c:v>
                </c:pt>
                <c:pt idx="1">
                  <c:v>-0.4179811451779688</c:v>
                </c:pt>
                <c:pt idx="2">
                  <c:v>-0.29150166491141949</c:v>
                </c:pt>
                <c:pt idx="3">
                  <c:v>-0.13043329676795828</c:v>
                </c:pt>
                <c:pt idx="4">
                  <c:v>0.25952569009215515</c:v>
                </c:pt>
                <c:pt idx="5">
                  <c:v>0.26284464511331584</c:v>
                </c:pt>
                <c:pt idx="6">
                  <c:v>0.33889955890162043</c:v>
                </c:pt>
                <c:pt idx="7">
                  <c:v>0.36577994419593857</c:v>
                </c:pt>
                <c:pt idx="8">
                  <c:v>0.4488894177403957</c:v>
                </c:pt>
                <c:pt idx="9">
                  <c:v>0.47870075507450288</c:v>
                </c:pt>
                <c:pt idx="10">
                  <c:v>0.49404258175234195</c:v>
                </c:pt>
                <c:pt idx="11">
                  <c:v>0.65686826305239931</c:v>
                </c:pt>
                <c:pt idx="12">
                  <c:v>0.77780542087509397</c:v>
                </c:pt>
                <c:pt idx="13">
                  <c:v>0.81389804831884216</c:v>
                </c:pt>
                <c:pt idx="14">
                  <c:v>0.83801672395550741</c:v>
                </c:pt>
                <c:pt idx="15">
                  <c:v>1.1150177353896158</c:v>
                </c:pt>
                <c:pt idx="16">
                  <c:v>1.132790454751051</c:v>
                </c:pt>
                <c:pt idx="17">
                  <c:v>1.8880025389484529</c:v>
                </c:pt>
                <c:pt idx="18">
                  <c:v>1.9546013164318845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43-40B0-9605-B0393583D7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853303759"/>
        <c:axId val="623452335"/>
      </c:barChart>
      <c:catAx>
        <c:axId val="85330375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3452335"/>
        <c:crosses val="autoZero"/>
        <c:auto val="1"/>
        <c:lblAlgn val="ctr"/>
        <c:lblOffset val="100"/>
        <c:noMultiLvlLbl val="0"/>
      </c:catAx>
      <c:valAx>
        <c:axId val="62345233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8533037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2800956144547949"/>
          <c:y val="3.674014696058784E-2"/>
          <c:w val="0.62229061202308456"/>
          <c:h val="0.890408638799909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Arkusz2!$C$78</c:f>
              <c:strCache>
                <c:ptCount val="1"/>
                <c:pt idx="0">
                  <c:v>PERS_ACC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Arkusz2!$B$79:$B$97</c:f>
              <c:strCache>
                <c:ptCount val="19"/>
                <c:pt idx="0">
                  <c:v>SOPHARMA</c:v>
                </c:pt>
                <c:pt idx="1">
                  <c:v>NOVATURAS</c:v>
                </c:pt>
                <c:pt idx="2">
                  <c:v>EUROHOLDING</c:v>
                </c:pt>
                <c:pt idx="3">
                  <c:v>CITY SERVICE</c:v>
                </c:pt>
                <c:pt idx="4">
                  <c:v>IMC</c:v>
                </c:pt>
                <c:pt idx="5">
                  <c:v>KERNEL</c:v>
                </c:pt>
                <c:pt idx="6">
                  <c:v>AGROTON</c:v>
                </c:pt>
                <c:pt idx="7">
                  <c:v>MOL</c:v>
                </c:pt>
                <c:pt idx="8">
                  <c:v>PHOTON</c:v>
                </c:pt>
                <c:pt idx="9">
                  <c:v>MILKILAND</c:v>
                </c:pt>
                <c:pt idx="10">
                  <c:v>ASTARTA</c:v>
                </c:pt>
                <c:pt idx="11">
                  <c:v>KSG AGRO</c:v>
                </c:pt>
                <c:pt idx="12">
                  <c:v>ADSIC</c:v>
                </c:pt>
                <c:pt idx="13">
                  <c:v>COAL ENERGY</c:v>
                </c:pt>
                <c:pt idx="14">
                  <c:v>OVOSTAR UNION</c:v>
                </c:pt>
                <c:pt idx="15">
                  <c:v>CEZ</c:v>
                </c:pt>
                <c:pt idx="16">
                  <c:v>KRKA</c:v>
                </c:pt>
                <c:pt idx="17">
                  <c:v>AGROLIGA</c:v>
                </c:pt>
                <c:pt idx="18">
                  <c:v>TATRY MOUNTAIN RESORT</c:v>
                </c:pt>
              </c:strCache>
            </c:strRef>
          </c:cat>
          <c:val>
            <c:numRef>
              <c:f>Arkusz2!$C$79:$C$97</c:f>
              <c:numCache>
                <c:formatCode>0.00</c:formatCode>
                <c:ptCount val="19"/>
                <c:pt idx="0">
                  <c:v>-0.79412404159082595</c:v>
                </c:pt>
                <c:pt idx="1">
                  <c:v>-0.44942969528343119</c:v>
                </c:pt>
                <c:pt idx="2">
                  <c:v>-0.25805425692740702</c:v>
                </c:pt>
                <c:pt idx="3">
                  <c:v>-0.25568482105837748</c:v>
                </c:pt>
                <c:pt idx="4">
                  <c:v>-6.6500332651901917E-2</c:v>
                </c:pt>
                <c:pt idx="5">
                  <c:v>0.16937208092721034</c:v>
                </c:pt>
                <c:pt idx="6">
                  <c:v>0.20476944889094706</c:v>
                </c:pt>
                <c:pt idx="7">
                  <c:v>0.2809191910707502</c:v>
                </c:pt>
                <c:pt idx="8">
                  <c:v>0.31290140752764167</c:v>
                </c:pt>
                <c:pt idx="9">
                  <c:v>0.315101131304032</c:v>
                </c:pt>
                <c:pt idx="10">
                  <c:v>0.36251065386463527</c:v>
                </c:pt>
                <c:pt idx="11">
                  <c:v>0.38589674991209227</c:v>
                </c:pt>
                <c:pt idx="12">
                  <c:v>0.54119893414073283</c:v>
                </c:pt>
                <c:pt idx="13">
                  <c:v>0.59451873320933812</c:v>
                </c:pt>
                <c:pt idx="14">
                  <c:v>0.6404553471687533</c:v>
                </c:pt>
                <c:pt idx="15">
                  <c:v>0.95685319140863756</c:v>
                </c:pt>
                <c:pt idx="16">
                  <c:v>0.96076641215113667</c:v>
                </c:pt>
                <c:pt idx="17">
                  <c:v>1.2179450452391238</c:v>
                </c:pt>
                <c:pt idx="18">
                  <c:v>1.2514472652772972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90-4630-AF5D-B10E4F3E6E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72418639"/>
        <c:axId val="697917343"/>
      </c:barChart>
      <c:catAx>
        <c:axId val="97241863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97917343"/>
        <c:crosses val="autoZero"/>
        <c:auto val="1"/>
        <c:lblAlgn val="ctr"/>
        <c:lblOffset val="100"/>
        <c:noMultiLvlLbl val="0"/>
      </c:catAx>
      <c:valAx>
        <c:axId val="69791734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9724186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0967015720973023"/>
          <c:y val="3.1609195402298854E-2"/>
          <c:w val="0.65338835222916736"/>
          <c:h val="0.9017291157570820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Arkusz2!$C$122</c:f>
              <c:strCache>
                <c:ptCount val="1"/>
                <c:pt idx="0">
                  <c:v>DACC_CFO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8.1240360418865162E-3"/>
                  <c:y val="1.0536276751464822E-16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623-44AA-B3C4-9D7A75C406D4}"/>
                </c:ext>
              </c:extLst>
            </c:dLbl>
            <c:dLbl>
              <c:idx val="1"/>
              <c:layout>
                <c:manualLayout>
                  <c:x val="-1.1525105753533386E-2"/>
                  <c:y val="-1.0536276751464822E-16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623-44AA-B3C4-9D7A75C406D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Arkusz2!$B$123:$B$141</c:f>
              <c:strCache>
                <c:ptCount val="19"/>
                <c:pt idx="0">
                  <c:v>AGROTON</c:v>
                </c:pt>
                <c:pt idx="1">
                  <c:v>KSG AGRO</c:v>
                </c:pt>
                <c:pt idx="2">
                  <c:v>IMC</c:v>
                </c:pt>
                <c:pt idx="3">
                  <c:v>ASTARTA</c:v>
                </c:pt>
                <c:pt idx="4">
                  <c:v>KERNEL</c:v>
                </c:pt>
                <c:pt idx="5">
                  <c:v>AGROLIGA</c:v>
                </c:pt>
                <c:pt idx="6">
                  <c:v>OVOSTAR UNION</c:v>
                </c:pt>
                <c:pt idx="7">
                  <c:v>TATRY MOUNTAIN RESORT</c:v>
                </c:pt>
                <c:pt idx="8">
                  <c:v>CITY SERVICE</c:v>
                </c:pt>
                <c:pt idx="9">
                  <c:v>MOL</c:v>
                </c:pt>
                <c:pt idx="10">
                  <c:v>CEZ</c:v>
                </c:pt>
                <c:pt idx="11">
                  <c:v>KRKA</c:v>
                </c:pt>
                <c:pt idx="12">
                  <c:v>ADSIC</c:v>
                </c:pt>
                <c:pt idx="13">
                  <c:v>SOPHARMA</c:v>
                </c:pt>
                <c:pt idx="14">
                  <c:v>NOVATURAS</c:v>
                </c:pt>
                <c:pt idx="15">
                  <c:v>EUROHOLDING</c:v>
                </c:pt>
                <c:pt idx="16">
                  <c:v>PHOTON</c:v>
                </c:pt>
                <c:pt idx="17">
                  <c:v>COAL ENERGY</c:v>
                </c:pt>
                <c:pt idx="18">
                  <c:v>MILKILAND</c:v>
                </c:pt>
              </c:strCache>
            </c:strRef>
          </c:cat>
          <c:val>
            <c:numRef>
              <c:f>Arkusz2!$C$123:$C$141</c:f>
              <c:numCache>
                <c:formatCode>0.000</c:formatCode>
                <c:ptCount val="19"/>
                <c:pt idx="0">
                  <c:v>-3.7492970066297718E-2</c:v>
                </c:pt>
                <c:pt idx="1">
                  <c:v>-3.6405727732084614E-2</c:v>
                </c:pt>
                <c:pt idx="2">
                  <c:v>-2.7132330411300264E-2</c:v>
                </c:pt>
                <c:pt idx="3">
                  <c:v>-2.2466730659630986E-2</c:v>
                </c:pt>
                <c:pt idx="4">
                  <c:v>-9.3102277192803722E-3</c:v>
                </c:pt>
                <c:pt idx="5">
                  <c:v>-6.9077471144197251E-3</c:v>
                </c:pt>
                <c:pt idx="6">
                  <c:v>-5.4340258424833377E-3</c:v>
                </c:pt>
                <c:pt idx="7">
                  <c:v>-2.3703925383029255E-3</c:v>
                </c:pt>
                <c:pt idx="8">
                  <c:v>-1.3986484985737558E-3</c:v>
                </c:pt>
                <c:pt idx="9">
                  <c:v>-1.3395985992244342E-3</c:v>
                </c:pt>
                <c:pt idx="10">
                  <c:v>-3.8729591159906567E-4</c:v>
                </c:pt>
                <c:pt idx="11">
                  <c:v>6.5052918371390911E-5</c:v>
                </c:pt>
                <c:pt idx="12">
                  <c:v>1.4147387922468844E-3</c:v>
                </c:pt>
                <c:pt idx="13">
                  <c:v>1.7644000393869375E-3</c:v>
                </c:pt>
                <c:pt idx="14">
                  <c:v>2.0643499002690802E-3</c:v>
                </c:pt>
                <c:pt idx="15">
                  <c:v>2.7929387652702617E-3</c:v>
                </c:pt>
                <c:pt idx="16">
                  <c:v>3.811955964973867E-3</c:v>
                </c:pt>
                <c:pt idx="17">
                  <c:v>4.5950728148500212E-3</c:v>
                </c:pt>
                <c:pt idx="18">
                  <c:v>5.1047201588439676E-3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623-44AA-B3C4-9D7A75C406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023395279"/>
        <c:axId val="706628127"/>
      </c:barChart>
      <c:catAx>
        <c:axId val="102339527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706628127"/>
        <c:crosses val="autoZero"/>
        <c:auto val="1"/>
        <c:lblAlgn val="ctr"/>
        <c:lblOffset val="300"/>
        <c:noMultiLvlLbl val="0"/>
      </c:catAx>
      <c:valAx>
        <c:axId val="70662812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233952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Arkusz2!$C$144</c:f>
              <c:strCache>
                <c:ptCount val="1"/>
                <c:pt idx="0">
                  <c:v>DACC_BS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Arkusz2!$B$145:$B$163</c:f>
              <c:strCache>
                <c:ptCount val="19"/>
                <c:pt idx="0">
                  <c:v>KSG AGRO</c:v>
                </c:pt>
                <c:pt idx="1">
                  <c:v>ASTARTA</c:v>
                </c:pt>
                <c:pt idx="2">
                  <c:v>IMC</c:v>
                </c:pt>
                <c:pt idx="3">
                  <c:v>AGROLIGA</c:v>
                </c:pt>
                <c:pt idx="4">
                  <c:v>KERNEL</c:v>
                </c:pt>
                <c:pt idx="5">
                  <c:v>AGROTON</c:v>
                </c:pt>
                <c:pt idx="6">
                  <c:v>ADSIC</c:v>
                </c:pt>
                <c:pt idx="7">
                  <c:v>MOL</c:v>
                </c:pt>
                <c:pt idx="8">
                  <c:v>SOPHARMA</c:v>
                </c:pt>
                <c:pt idx="9">
                  <c:v>KRKA</c:v>
                </c:pt>
                <c:pt idx="10">
                  <c:v>CEZ</c:v>
                </c:pt>
                <c:pt idx="11">
                  <c:v>PHOTON</c:v>
                </c:pt>
                <c:pt idx="12">
                  <c:v>NOVATURAS</c:v>
                </c:pt>
                <c:pt idx="13">
                  <c:v>OVOSTAR UNION</c:v>
                </c:pt>
                <c:pt idx="14">
                  <c:v>CITY SERVICE</c:v>
                </c:pt>
                <c:pt idx="15">
                  <c:v>TATRY MOUNTAIN RESORT</c:v>
                </c:pt>
                <c:pt idx="16">
                  <c:v>COAL ENERGY</c:v>
                </c:pt>
                <c:pt idx="17">
                  <c:v>MILKILAND</c:v>
                </c:pt>
                <c:pt idx="18">
                  <c:v>EUROHOLDING</c:v>
                </c:pt>
              </c:strCache>
            </c:strRef>
          </c:cat>
          <c:val>
            <c:numRef>
              <c:f>Arkusz2!$C$145:$C$163</c:f>
              <c:numCache>
                <c:formatCode>0.000</c:formatCode>
                <c:ptCount val="19"/>
                <c:pt idx="0">
                  <c:v>-3.0495727338199032E-2</c:v>
                </c:pt>
                <c:pt idx="1">
                  <c:v>-2.2654019627713823E-2</c:v>
                </c:pt>
                <c:pt idx="2">
                  <c:v>-1.8952201235144728E-2</c:v>
                </c:pt>
                <c:pt idx="3">
                  <c:v>-1.2534479466617499E-2</c:v>
                </c:pt>
                <c:pt idx="4">
                  <c:v>-7.4183983468755878E-3</c:v>
                </c:pt>
                <c:pt idx="5">
                  <c:v>-6.0682693360620717E-3</c:v>
                </c:pt>
                <c:pt idx="6">
                  <c:v>-5.8173408246503574E-3</c:v>
                </c:pt>
                <c:pt idx="7">
                  <c:v>-2.6471796671548677E-3</c:v>
                </c:pt>
                <c:pt idx="8">
                  <c:v>-4.1117811920163283E-4</c:v>
                </c:pt>
                <c:pt idx="9">
                  <c:v>1.7194392808200803E-4</c:v>
                </c:pt>
                <c:pt idx="10">
                  <c:v>2.1619729949362722E-4</c:v>
                </c:pt>
                <c:pt idx="11">
                  <c:v>2.9247225253011406E-4</c:v>
                </c:pt>
                <c:pt idx="12">
                  <c:v>5.5227951273087439E-4</c:v>
                </c:pt>
                <c:pt idx="13">
                  <c:v>1.1418048209235656E-3</c:v>
                </c:pt>
                <c:pt idx="14">
                  <c:v>2.1555314243376887E-3</c:v>
                </c:pt>
                <c:pt idx="15">
                  <c:v>3.962086871497991E-3</c:v>
                </c:pt>
                <c:pt idx="16">
                  <c:v>7.4567168630050081E-3</c:v>
                </c:pt>
                <c:pt idx="17">
                  <c:v>8.6935135960152753E-3</c:v>
                </c:pt>
                <c:pt idx="18">
                  <c:v>3.0454024792867553E-2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9F-4229-9166-0D037D75AF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016715535"/>
        <c:axId val="963965295"/>
      </c:barChart>
      <c:catAx>
        <c:axId val="101671553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963965295"/>
        <c:crosses val="autoZero"/>
        <c:auto val="1"/>
        <c:lblAlgn val="ctr"/>
        <c:lblOffset val="300"/>
        <c:noMultiLvlLbl val="0"/>
      </c:catAx>
      <c:valAx>
        <c:axId val="96396529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1671553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Arkusz2!$C$100</c:f>
              <c:strCache>
                <c:ptCount val="1"/>
                <c:pt idx="0">
                  <c:v>SMOOTH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Arkusz2!$B$101:$B$119</c:f>
              <c:strCache>
                <c:ptCount val="19"/>
                <c:pt idx="0">
                  <c:v>SOPHARMA</c:v>
                </c:pt>
                <c:pt idx="1">
                  <c:v>CITY SERVICE</c:v>
                </c:pt>
                <c:pt idx="2">
                  <c:v>PHOTON</c:v>
                </c:pt>
                <c:pt idx="3">
                  <c:v>AGROLIGA</c:v>
                </c:pt>
                <c:pt idx="4">
                  <c:v>NOVATURAS</c:v>
                </c:pt>
                <c:pt idx="5">
                  <c:v>TATRY MOUNTAIN RESORT</c:v>
                </c:pt>
                <c:pt idx="6">
                  <c:v>KRKA</c:v>
                </c:pt>
                <c:pt idx="7">
                  <c:v>ASTARTA</c:v>
                </c:pt>
                <c:pt idx="8">
                  <c:v>CEZ</c:v>
                </c:pt>
                <c:pt idx="9">
                  <c:v>IMC</c:v>
                </c:pt>
                <c:pt idx="10">
                  <c:v>EUROHOLDING</c:v>
                </c:pt>
                <c:pt idx="11">
                  <c:v>KERNEL</c:v>
                </c:pt>
                <c:pt idx="12">
                  <c:v>AGROTON</c:v>
                </c:pt>
                <c:pt idx="13">
                  <c:v>COAL ENERGY</c:v>
                </c:pt>
                <c:pt idx="14">
                  <c:v>MOL</c:v>
                </c:pt>
                <c:pt idx="15">
                  <c:v>ADSIC</c:v>
                </c:pt>
                <c:pt idx="16">
                  <c:v>OVOSTAR UNION</c:v>
                </c:pt>
                <c:pt idx="17">
                  <c:v>KSG AGRO</c:v>
                </c:pt>
                <c:pt idx="18">
                  <c:v>MILKILAND</c:v>
                </c:pt>
              </c:strCache>
            </c:strRef>
          </c:cat>
          <c:val>
            <c:numRef>
              <c:f>Arkusz2!$C$101:$C$119</c:f>
              <c:numCache>
                <c:formatCode>0.00</c:formatCode>
                <c:ptCount val="19"/>
                <c:pt idx="0">
                  <c:v>0.19595419380372345</c:v>
                </c:pt>
                <c:pt idx="1">
                  <c:v>0.33041978742623318</c:v>
                </c:pt>
                <c:pt idx="2">
                  <c:v>0.41451273747911183</c:v>
                </c:pt>
                <c:pt idx="3">
                  <c:v>0.4915134285370556</c:v>
                </c:pt>
                <c:pt idx="4">
                  <c:v>0.60248186352379185</c:v>
                </c:pt>
                <c:pt idx="5">
                  <c:v>0.7695311952701992</c:v>
                </c:pt>
                <c:pt idx="6">
                  <c:v>0.77606116339445796</c:v>
                </c:pt>
                <c:pt idx="7">
                  <c:v>0.86912248045563578</c:v>
                </c:pt>
                <c:pt idx="8">
                  <c:v>0.957888416243316</c:v>
                </c:pt>
                <c:pt idx="9">
                  <c:v>1.0365541924097885</c:v>
                </c:pt>
                <c:pt idx="10">
                  <c:v>1.0925055860693562</c:v>
                </c:pt>
                <c:pt idx="11">
                  <c:v>1.1761992183178931</c:v>
                </c:pt>
                <c:pt idx="12">
                  <c:v>1.3894786288902314</c:v>
                </c:pt>
                <c:pt idx="13">
                  <c:v>1.420877772592442</c:v>
                </c:pt>
                <c:pt idx="14">
                  <c:v>1.8655518060766836</c:v>
                </c:pt>
                <c:pt idx="15">
                  <c:v>2.2407154595290177</c:v>
                </c:pt>
                <c:pt idx="16">
                  <c:v>2.4357061715602244</c:v>
                </c:pt>
                <c:pt idx="17">
                  <c:v>4.1033521629472105</c:v>
                </c:pt>
                <c:pt idx="18">
                  <c:v>5.0771081170276364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90-4D76-9D95-9303893622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853272159"/>
        <c:axId val="854963711"/>
      </c:barChart>
      <c:catAx>
        <c:axId val="85327215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854963711"/>
        <c:crosses val="autoZero"/>
        <c:auto val="1"/>
        <c:lblAlgn val="ctr"/>
        <c:lblOffset val="100"/>
        <c:noMultiLvlLbl val="0"/>
      </c:catAx>
      <c:valAx>
        <c:axId val="85496371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8532721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A8B42-443A-4000-BE0D-297FAA444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260</Words>
  <Characters>1565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Michał Comporek</cp:lastModifiedBy>
  <cp:revision>3</cp:revision>
  <dcterms:created xsi:type="dcterms:W3CDTF">2022-10-07T07:05:00Z</dcterms:created>
  <dcterms:modified xsi:type="dcterms:W3CDTF">2022-10-07T07:06:00Z</dcterms:modified>
</cp:coreProperties>
</file>