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2122"/>
        <w:gridCol w:w="6940"/>
      </w:tblGrid>
      <w:tr w:rsidR="00521C2D" w:rsidRPr="00B30B06" w14:paraId="225DA1BD" w14:textId="77777777" w:rsidTr="000C5ADE">
        <w:trPr>
          <w:tblHeader/>
        </w:trPr>
        <w:tc>
          <w:tcPr>
            <w:tcW w:w="2122" w:type="dxa"/>
            <w:shd w:val="clear" w:color="auto" w:fill="404040" w:themeFill="text1" w:themeFillTint="BF"/>
          </w:tcPr>
          <w:p w14:paraId="572934A2" w14:textId="77777777" w:rsidR="00521C2D" w:rsidRPr="00B30B06" w:rsidRDefault="00521C2D" w:rsidP="000C5ADE">
            <w:pPr>
              <w:spacing w:line="240" w:lineRule="auto"/>
              <w:jc w:val="center"/>
              <w:rPr>
                <w:rFonts w:cs="Times New Roman"/>
                <w:b/>
                <w:color w:val="FFFFFF" w:themeColor="background1"/>
                <w:sz w:val="20"/>
                <w:szCs w:val="20"/>
                <w:lang w:val="en-GB"/>
              </w:rPr>
            </w:pPr>
            <w:r w:rsidRPr="00B30B06">
              <w:rPr>
                <w:rFonts w:cs="Times New Roman"/>
                <w:b/>
                <w:color w:val="FFFFFF" w:themeColor="background1"/>
                <w:sz w:val="20"/>
                <w:szCs w:val="20"/>
                <w:lang w:val="en-GB"/>
              </w:rPr>
              <w:t>Recommendation</w:t>
            </w:r>
          </w:p>
        </w:tc>
        <w:tc>
          <w:tcPr>
            <w:tcW w:w="6940" w:type="dxa"/>
            <w:shd w:val="clear" w:color="auto" w:fill="404040" w:themeFill="text1" w:themeFillTint="BF"/>
          </w:tcPr>
          <w:p w14:paraId="62D50CEC" w14:textId="77777777" w:rsidR="00521C2D" w:rsidRPr="00B30B06" w:rsidRDefault="00521C2D" w:rsidP="000C5ADE">
            <w:pPr>
              <w:spacing w:line="240" w:lineRule="auto"/>
              <w:jc w:val="center"/>
              <w:rPr>
                <w:rFonts w:cs="Times New Roman"/>
                <w:b/>
                <w:color w:val="FFFFFF" w:themeColor="background1"/>
                <w:sz w:val="20"/>
                <w:szCs w:val="20"/>
                <w:lang w:val="en-GB"/>
              </w:rPr>
            </w:pPr>
            <w:r w:rsidRPr="00B30B06">
              <w:rPr>
                <w:rFonts w:cs="Times New Roman"/>
                <w:b/>
                <w:color w:val="FFFFFF" w:themeColor="background1"/>
                <w:sz w:val="20"/>
                <w:szCs w:val="20"/>
                <w:lang w:val="en-GB"/>
              </w:rPr>
              <w:t>Description</w:t>
            </w:r>
          </w:p>
        </w:tc>
      </w:tr>
      <w:tr w:rsidR="00521C2D" w:rsidRPr="00B30B06" w14:paraId="4AEA1FA0" w14:textId="77777777" w:rsidTr="000C5ADE">
        <w:tc>
          <w:tcPr>
            <w:tcW w:w="9062" w:type="dxa"/>
            <w:gridSpan w:val="2"/>
            <w:shd w:val="clear" w:color="auto" w:fill="A6A6A6" w:themeFill="background1" w:themeFillShade="A6"/>
          </w:tcPr>
          <w:p w14:paraId="7D1287A1" w14:textId="77777777" w:rsidR="00521C2D" w:rsidRPr="00B30B06" w:rsidRDefault="00521C2D" w:rsidP="000C5ADE">
            <w:pPr>
              <w:spacing w:line="240" w:lineRule="auto"/>
              <w:jc w:val="center"/>
              <w:rPr>
                <w:rFonts w:cs="Times New Roman"/>
                <w:b/>
                <w:bCs/>
                <w:sz w:val="20"/>
                <w:szCs w:val="20"/>
                <w:lang w:val="en-GB"/>
              </w:rPr>
            </w:pPr>
            <w:r w:rsidRPr="00B30B06">
              <w:rPr>
                <w:rFonts w:cs="Times New Roman"/>
                <w:b/>
                <w:bCs/>
                <w:sz w:val="20"/>
                <w:szCs w:val="20"/>
                <w:lang w:val="en-GB"/>
              </w:rPr>
              <w:t>Soft</w:t>
            </w:r>
          </w:p>
        </w:tc>
      </w:tr>
      <w:tr w:rsidR="00521C2D" w:rsidRPr="00521C2D" w14:paraId="43275F33" w14:textId="77777777" w:rsidTr="000C5ADE">
        <w:tc>
          <w:tcPr>
            <w:tcW w:w="2122" w:type="dxa"/>
          </w:tcPr>
          <w:p w14:paraId="12CC2BF2" w14:textId="77777777" w:rsidR="00521C2D" w:rsidRPr="00B30B06" w:rsidRDefault="00521C2D" w:rsidP="000C5ADE">
            <w:pPr>
              <w:spacing w:line="240" w:lineRule="auto"/>
              <w:jc w:val="left"/>
              <w:rPr>
                <w:rFonts w:cs="Times New Roman"/>
                <w:sz w:val="20"/>
                <w:szCs w:val="20"/>
                <w:lang w:val="en-GB"/>
              </w:rPr>
            </w:pPr>
            <w:r w:rsidRPr="00B30B06">
              <w:rPr>
                <w:rFonts w:cs="Times New Roman"/>
                <w:sz w:val="20"/>
                <w:szCs w:val="20"/>
                <w:lang w:val="en-GB"/>
              </w:rPr>
              <w:t>Ethics is everything</w:t>
            </w:r>
          </w:p>
          <w:p w14:paraId="3DBEAF31" w14:textId="77777777" w:rsidR="00521C2D" w:rsidRPr="00B30B06" w:rsidRDefault="00521C2D" w:rsidP="000C5ADE">
            <w:pPr>
              <w:spacing w:line="240" w:lineRule="auto"/>
              <w:jc w:val="left"/>
              <w:rPr>
                <w:rFonts w:cs="Times New Roman"/>
                <w:sz w:val="20"/>
                <w:szCs w:val="20"/>
                <w:lang w:val="en-GB"/>
              </w:rPr>
            </w:pPr>
          </w:p>
        </w:tc>
        <w:tc>
          <w:tcPr>
            <w:tcW w:w="6940" w:type="dxa"/>
          </w:tcPr>
          <w:p w14:paraId="5753C131" w14:textId="77777777" w:rsidR="00521C2D" w:rsidRPr="00B30B06" w:rsidRDefault="00521C2D" w:rsidP="000C5ADE">
            <w:pPr>
              <w:spacing w:line="240" w:lineRule="auto"/>
              <w:rPr>
                <w:rFonts w:cs="Times New Roman"/>
                <w:sz w:val="20"/>
                <w:szCs w:val="20"/>
                <w:lang w:val="en-GB"/>
              </w:rPr>
            </w:pPr>
            <w:r w:rsidRPr="00B30B06">
              <w:rPr>
                <w:rFonts w:cs="Times New Roman"/>
                <w:sz w:val="20"/>
                <w:szCs w:val="20"/>
                <w:lang w:val="en-GB"/>
              </w:rPr>
              <w:t>Rules of ethical conduct should be precisely defined along with what constitutes a morally acceptable behaviour. The company’s goals should always be pursued in compliance with the applicable standards – also through the implementation of the abridged Code of Conduct and Ethics.</w:t>
            </w:r>
          </w:p>
        </w:tc>
      </w:tr>
      <w:tr w:rsidR="00521C2D" w:rsidRPr="00B30B06" w14:paraId="356F219E" w14:textId="77777777" w:rsidTr="000C5ADE">
        <w:tc>
          <w:tcPr>
            <w:tcW w:w="2122" w:type="dxa"/>
          </w:tcPr>
          <w:p w14:paraId="587BFEAB" w14:textId="77777777" w:rsidR="00521C2D" w:rsidRPr="00B30B06" w:rsidRDefault="00521C2D" w:rsidP="000C5ADE">
            <w:pPr>
              <w:spacing w:line="240" w:lineRule="auto"/>
              <w:jc w:val="left"/>
              <w:rPr>
                <w:rFonts w:cs="Times New Roman"/>
                <w:sz w:val="20"/>
                <w:szCs w:val="20"/>
                <w:lang w:val="en-GB"/>
              </w:rPr>
            </w:pPr>
            <w:r w:rsidRPr="00B30B06">
              <w:rPr>
                <w:rFonts w:cs="Times New Roman"/>
                <w:sz w:val="20"/>
                <w:szCs w:val="20"/>
                <w:lang w:val="en-GB"/>
              </w:rPr>
              <w:t>No excuse for bad decisions even if they bring good results</w:t>
            </w:r>
          </w:p>
        </w:tc>
        <w:tc>
          <w:tcPr>
            <w:tcW w:w="6940" w:type="dxa"/>
          </w:tcPr>
          <w:p w14:paraId="27E5C97A" w14:textId="77777777" w:rsidR="00521C2D" w:rsidRPr="00B30B06" w:rsidRDefault="00521C2D" w:rsidP="000C5ADE">
            <w:pPr>
              <w:spacing w:line="240" w:lineRule="auto"/>
              <w:rPr>
                <w:rFonts w:cs="Times New Roman"/>
                <w:sz w:val="20"/>
                <w:szCs w:val="20"/>
                <w:lang w:val="en-GB"/>
              </w:rPr>
            </w:pPr>
            <w:r w:rsidRPr="00B30B06">
              <w:rPr>
                <w:rFonts w:cs="Times New Roman"/>
                <w:sz w:val="20"/>
                <w:szCs w:val="20"/>
                <w:lang w:val="en-GB"/>
              </w:rPr>
              <w:t>Wrong, unethical decisions cannot be ignored even if they bring profits to the company – the end never justifies the means. The decision-making process requires due diligence and transparency.</w:t>
            </w:r>
          </w:p>
        </w:tc>
      </w:tr>
      <w:tr w:rsidR="00521C2D" w:rsidRPr="00521C2D" w14:paraId="76ACD865" w14:textId="77777777" w:rsidTr="000C5ADE">
        <w:tc>
          <w:tcPr>
            <w:tcW w:w="2122" w:type="dxa"/>
          </w:tcPr>
          <w:p w14:paraId="03696B24" w14:textId="77777777" w:rsidR="00521C2D" w:rsidRPr="00B30B06" w:rsidRDefault="00521C2D" w:rsidP="000C5ADE">
            <w:pPr>
              <w:spacing w:line="240" w:lineRule="auto"/>
              <w:jc w:val="left"/>
              <w:rPr>
                <w:rFonts w:cs="Times New Roman"/>
                <w:sz w:val="20"/>
                <w:szCs w:val="20"/>
                <w:lang w:val="en-GB"/>
              </w:rPr>
            </w:pPr>
            <w:r w:rsidRPr="00B30B06">
              <w:rPr>
                <w:rFonts w:cs="Times New Roman"/>
                <w:sz w:val="20"/>
                <w:szCs w:val="20"/>
                <w:lang w:val="en-GB"/>
              </w:rPr>
              <w:t>Lead by example</w:t>
            </w:r>
          </w:p>
        </w:tc>
        <w:tc>
          <w:tcPr>
            <w:tcW w:w="6940" w:type="dxa"/>
          </w:tcPr>
          <w:p w14:paraId="7E3FF527" w14:textId="77777777" w:rsidR="00521C2D" w:rsidRPr="00B30B06" w:rsidRDefault="00521C2D" w:rsidP="000C5ADE">
            <w:pPr>
              <w:spacing w:line="240" w:lineRule="auto"/>
              <w:rPr>
                <w:rFonts w:cs="Times New Roman"/>
                <w:sz w:val="20"/>
                <w:szCs w:val="20"/>
                <w:lang w:val="en-GB"/>
              </w:rPr>
            </w:pPr>
            <w:r w:rsidRPr="00B30B06">
              <w:rPr>
                <w:rFonts w:cs="Times New Roman"/>
                <w:sz w:val="20"/>
                <w:szCs w:val="20"/>
                <w:lang w:val="en-GB"/>
              </w:rPr>
              <w:t>The company owners and managers who behave in a fair and ethical manner have a positive effect on employee morale, which reduces the potential inclinations to commit fraud.</w:t>
            </w:r>
          </w:p>
        </w:tc>
      </w:tr>
      <w:tr w:rsidR="00521C2D" w:rsidRPr="00521C2D" w14:paraId="005C537A" w14:textId="77777777" w:rsidTr="000C5ADE">
        <w:tc>
          <w:tcPr>
            <w:tcW w:w="2122" w:type="dxa"/>
          </w:tcPr>
          <w:p w14:paraId="5FF68503" w14:textId="77777777" w:rsidR="00521C2D" w:rsidRPr="00B30B06" w:rsidRDefault="00521C2D" w:rsidP="000C5ADE">
            <w:pPr>
              <w:spacing w:line="240" w:lineRule="auto"/>
              <w:jc w:val="left"/>
              <w:rPr>
                <w:rFonts w:cs="Times New Roman"/>
                <w:sz w:val="20"/>
                <w:szCs w:val="20"/>
                <w:lang w:val="en-GB"/>
              </w:rPr>
            </w:pPr>
            <w:r w:rsidRPr="00B30B06">
              <w:rPr>
                <w:rFonts w:cs="Times New Roman"/>
                <w:sz w:val="20"/>
                <w:szCs w:val="20"/>
                <w:lang w:val="en-GB"/>
              </w:rPr>
              <w:t>Involve employees in decision-making</w:t>
            </w:r>
          </w:p>
        </w:tc>
        <w:tc>
          <w:tcPr>
            <w:tcW w:w="6940" w:type="dxa"/>
          </w:tcPr>
          <w:p w14:paraId="0F59BAB4" w14:textId="77777777" w:rsidR="00521C2D" w:rsidRPr="00B30B06" w:rsidRDefault="00521C2D" w:rsidP="000C5ADE">
            <w:pPr>
              <w:spacing w:line="240" w:lineRule="auto"/>
              <w:rPr>
                <w:rFonts w:cs="Times New Roman"/>
                <w:sz w:val="20"/>
                <w:szCs w:val="20"/>
                <w:lang w:val="en-GB"/>
              </w:rPr>
            </w:pPr>
            <w:r w:rsidRPr="00B30B06">
              <w:rPr>
                <w:rFonts w:cs="Times New Roman"/>
                <w:sz w:val="20"/>
                <w:szCs w:val="20"/>
                <w:lang w:val="en-GB"/>
              </w:rPr>
              <w:t>Including employees in the decision-making process helps them feel co-responsible for the company, which increases their integrity.</w:t>
            </w:r>
          </w:p>
        </w:tc>
      </w:tr>
      <w:tr w:rsidR="00521C2D" w:rsidRPr="00521C2D" w14:paraId="2D0C1C16" w14:textId="77777777" w:rsidTr="000C5ADE">
        <w:tc>
          <w:tcPr>
            <w:tcW w:w="2122" w:type="dxa"/>
          </w:tcPr>
          <w:p w14:paraId="70FB18C1" w14:textId="77777777" w:rsidR="00521C2D" w:rsidRPr="00B30B06" w:rsidRDefault="00521C2D" w:rsidP="000C5ADE">
            <w:pPr>
              <w:spacing w:line="240" w:lineRule="auto"/>
              <w:jc w:val="left"/>
              <w:rPr>
                <w:rFonts w:cs="Times New Roman"/>
                <w:sz w:val="20"/>
                <w:szCs w:val="20"/>
                <w:lang w:val="en-GB"/>
              </w:rPr>
            </w:pPr>
            <w:r w:rsidRPr="00B30B06">
              <w:rPr>
                <w:rFonts w:cs="Times New Roman"/>
                <w:sz w:val="20"/>
                <w:szCs w:val="20"/>
                <w:lang w:val="en-GB"/>
              </w:rPr>
              <w:t>Never ignore a single case of even a minor misconduct</w:t>
            </w:r>
          </w:p>
        </w:tc>
        <w:tc>
          <w:tcPr>
            <w:tcW w:w="6940" w:type="dxa"/>
          </w:tcPr>
          <w:p w14:paraId="6BF18F1C" w14:textId="77777777" w:rsidR="00521C2D" w:rsidRPr="00B30B06" w:rsidRDefault="00521C2D" w:rsidP="000C5ADE">
            <w:pPr>
              <w:spacing w:line="240" w:lineRule="auto"/>
              <w:rPr>
                <w:rFonts w:cs="Times New Roman"/>
                <w:sz w:val="20"/>
                <w:szCs w:val="20"/>
                <w:lang w:val="en-GB"/>
              </w:rPr>
            </w:pPr>
            <w:r w:rsidRPr="00B30B06">
              <w:rPr>
                <w:rFonts w:cs="Times New Roman"/>
                <w:sz w:val="20"/>
                <w:szCs w:val="20"/>
                <w:lang w:val="en-GB"/>
              </w:rPr>
              <w:t xml:space="preserve">It is necessary to react and hold employees accountable for all types of occupational fraud, from the smallest ones to those that bring significant losses to the company. Smaller transgressions, if uncontrolled, pave the way for larger problems. </w:t>
            </w:r>
          </w:p>
        </w:tc>
      </w:tr>
      <w:tr w:rsidR="00521C2D" w:rsidRPr="00B30B06" w14:paraId="047D5AAE" w14:textId="77777777" w:rsidTr="000C5ADE">
        <w:tc>
          <w:tcPr>
            <w:tcW w:w="9062" w:type="dxa"/>
            <w:gridSpan w:val="2"/>
            <w:shd w:val="clear" w:color="auto" w:fill="A6A6A6" w:themeFill="background1" w:themeFillShade="A6"/>
          </w:tcPr>
          <w:p w14:paraId="449E35A9" w14:textId="77777777" w:rsidR="00521C2D" w:rsidRPr="00B30B06" w:rsidRDefault="00521C2D" w:rsidP="000C5ADE">
            <w:pPr>
              <w:spacing w:line="240" w:lineRule="auto"/>
              <w:jc w:val="center"/>
              <w:rPr>
                <w:rFonts w:cs="Times New Roman"/>
                <w:b/>
                <w:bCs/>
                <w:sz w:val="20"/>
                <w:szCs w:val="20"/>
                <w:lang w:val="en-GB"/>
              </w:rPr>
            </w:pPr>
            <w:r w:rsidRPr="00B30B06">
              <w:rPr>
                <w:rFonts w:cs="Times New Roman"/>
                <w:b/>
                <w:bCs/>
                <w:sz w:val="20"/>
                <w:szCs w:val="20"/>
                <w:lang w:val="en-GB"/>
              </w:rPr>
              <w:t>Hard</w:t>
            </w:r>
          </w:p>
        </w:tc>
      </w:tr>
      <w:tr w:rsidR="00521C2D" w:rsidRPr="00521C2D" w14:paraId="39657DDA" w14:textId="77777777" w:rsidTr="000C5ADE">
        <w:tc>
          <w:tcPr>
            <w:tcW w:w="2122" w:type="dxa"/>
          </w:tcPr>
          <w:p w14:paraId="580C8739" w14:textId="77777777" w:rsidR="00521C2D" w:rsidRPr="00B30B06" w:rsidRDefault="00521C2D" w:rsidP="000C5ADE">
            <w:pPr>
              <w:spacing w:line="240" w:lineRule="auto"/>
              <w:jc w:val="left"/>
              <w:rPr>
                <w:rFonts w:cs="Times New Roman"/>
                <w:sz w:val="20"/>
                <w:szCs w:val="20"/>
                <w:lang w:val="en-GB"/>
              </w:rPr>
            </w:pPr>
            <w:r w:rsidRPr="00B30B06">
              <w:rPr>
                <w:rFonts w:cs="Times New Roman"/>
                <w:sz w:val="20"/>
                <w:szCs w:val="20"/>
                <w:lang w:val="en-GB"/>
              </w:rPr>
              <w:t xml:space="preserve">Reporting occupational frauds must be easy </w:t>
            </w:r>
          </w:p>
        </w:tc>
        <w:tc>
          <w:tcPr>
            <w:tcW w:w="6940" w:type="dxa"/>
          </w:tcPr>
          <w:p w14:paraId="73AC7084" w14:textId="77777777" w:rsidR="00521C2D" w:rsidRPr="00B30B06" w:rsidRDefault="00521C2D" w:rsidP="000C5ADE">
            <w:pPr>
              <w:spacing w:line="240" w:lineRule="auto"/>
              <w:rPr>
                <w:rFonts w:cs="Times New Roman"/>
                <w:sz w:val="20"/>
                <w:szCs w:val="20"/>
                <w:lang w:val="en-GB"/>
              </w:rPr>
            </w:pPr>
            <w:r w:rsidRPr="00B30B06">
              <w:rPr>
                <w:rFonts w:cs="Times New Roman"/>
                <w:sz w:val="20"/>
                <w:szCs w:val="20"/>
                <w:lang w:val="en-GB"/>
              </w:rPr>
              <w:t>Companies should implement fraud reporting mechanisms (via e-mail, regular mail, or a dedicated form on the company’s website), ensuring the anonymity of the information on the reported suspicious behaviour.</w:t>
            </w:r>
          </w:p>
        </w:tc>
      </w:tr>
      <w:tr w:rsidR="00521C2D" w:rsidRPr="00521C2D" w14:paraId="0CEE0DB0" w14:textId="77777777" w:rsidTr="000C5ADE">
        <w:tc>
          <w:tcPr>
            <w:tcW w:w="2122" w:type="dxa"/>
          </w:tcPr>
          <w:p w14:paraId="0599DE74" w14:textId="77777777" w:rsidR="00521C2D" w:rsidRPr="00B30B06" w:rsidRDefault="00521C2D" w:rsidP="000C5ADE">
            <w:pPr>
              <w:spacing w:line="240" w:lineRule="auto"/>
              <w:jc w:val="left"/>
              <w:rPr>
                <w:rFonts w:cs="Times New Roman"/>
                <w:sz w:val="20"/>
                <w:szCs w:val="20"/>
                <w:lang w:val="en-GB"/>
              </w:rPr>
            </w:pPr>
            <w:r w:rsidRPr="00B30B06">
              <w:rPr>
                <w:rFonts w:cs="Times New Roman"/>
                <w:sz w:val="20"/>
                <w:szCs w:val="20"/>
                <w:lang w:val="en-GB"/>
              </w:rPr>
              <w:t>Regular internal and external inspections and audits</w:t>
            </w:r>
          </w:p>
        </w:tc>
        <w:tc>
          <w:tcPr>
            <w:tcW w:w="6940" w:type="dxa"/>
          </w:tcPr>
          <w:p w14:paraId="7AF7BBD6" w14:textId="77777777" w:rsidR="00521C2D" w:rsidRPr="00B30B06" w:rsidRDefault="00521C2D" w:rsidP="000C5ADE">
            <w:pPr>
              <w:spacing w:line="240" w:lineRule="auto"/>
              <w:rPr>
                <w:rFonts w:cs="Times New Roman"/>
                <w:sz w:val="20"/>
                <w:szCs w:val="20"/>
                <w:lang w:val="en-GB"/>
              </w:rPr>
            </w:pPr>
            <w:r w:rsidRPr="00B30B06">
              <w:rPr>
                <w:rFonts w:cs="Times New Roman"/>
                <w:sz w:val="20"/>
                <w:szCs w:val="20"/>
                <w:lang w:val="en-GB"/>
              </w:rPr>
              <w:t>Companies need to conduct regular and unannounced inspections and audits, both internal and external.</w:t>
            </w:r>
          </w:p>
        </w:tc>
      </w:tr>
      <w:tr w:rsidR="00521C2D" w:rsidRPr="00521C2D" w14:paraId="45F9FCB0" w14:textId="77777777" w:rsidTr="000C5ADE">
        <w:tc>
          <w:tcPr>
            <w:tcW w:w="2122" w:type="dxa"/>
          </w:tcPr>
          <w:p w14:paraId="238FBFAD" w14:textId="77777777" w:rsidR="00521C2D" w:rsidRPr="00B30B06" w:rsidRDefault="00521C2D" w:rsidP="000C5ADE">
            <w:pPr>
              <w:spacing w:line="240" w:lineRule="auto"/>
              <w:jc w:val="left"/>
              <w:rPr>
                <w:rFonts w:cs="Times New Roman"/>
                <w:sz w:val="20"/>
                <w:szCs w:val="20"/>
                <w:lang w:val="en-GB"/>
              </w:rPr>
            </w:pPr>
            <w:r w:rsidRPr="00B30B06">
              <w:rPr>
                <w:rFonts w:cs="Times New Roman"/>
                <w:sz w:val="20"/>
                <w:szCs w:val="20"/>
                <w:lang w:val="en-GB"/>
              </w:rPr>
              <w:t>Constant monitoring</w:t>
            </w:r>
          </w:p>
        </w:tc>
        <w:tc>
          <w:tcPr>
            <w:tcW w:w="6940" w:type="dxa"/>
          </w:tcPr>
          <w:p w14:paraId="5CB9262A" w14:textId="77777777" w:rsidR="00521C2D" w:rsidRPr="00B30B06" w:rsidRDefault="00521C2D" w:rsidP="000C5ADE">
            <w:pPr>
              <w:spacing w:line="240" w:lineRule="auto"/>
              <w:rPr>
                <w:rFonts w:cs="Times New Roman"/>
                <w:sz w:val="20"/>
                <w:szCs w:val="20"/>
                <w:lang w:val="en-GB"/>
              </w:rPr>
            </w:pPr>
            <w:r w:rsidRPr="00B30B06">
              <w:rPr>
                <w:rFonts w:cs="Times New Roman"/>
                <w:sz w:val="20"/>
                <w:szCs w:val="20"/>
                <w:lang w:val="en-GB"/>
              </w:rPr>
              <w:t>The tasks performed by employees should be monitored and verified not only directly, but also based on performance reports.</w:t>
            </w:r>
          </w:p>
        </w:tc>
      </w:tr>
      <w:tr w:rsidR="00521C2D" w:rsidRPr="00521C2D" w14:paraId="29BD9D0B" w14:textId="77777777" w:rsidTr="000C5ADE">
        <w:tc>
          <w:tcPr>
            <w:tcW w:w="2122" w:type="dxa"/>
          </w:tcPr>
          <w:p w14:paraId="225FC734" w14:textId="77777777" w:rsidR="00521C2D" w:rsidRPr="00B30B06" w:rsidRDefault="00521C2D" w:rsidP="000C5ADE">
            <w:pPr>
              <w:spacing w:line="240" w:lineRule="auto"/>
              <w:jc w:val="left"/>
              <w:rPr>
                <w:rFonts w:cs="Times New Roman"/>
                <w:sz w:val="20"/>
                <w:szCs w:val="20"/>
                <w:lang w:val="en-GB"/>
              </w:rPr>
            </w:pPr>
            <w:r w:rsidRPr="00B30B06">
              <w:rPr>
                <w:rFonts w:cs="Times New Roman"/>
                <w:sz w:val="20"/>
                <w:szCs w:val="20"/>
                <w:lang w:val="en-GB"/>
              </w:rPr>
              <w:t>Division of responsibilities</w:t>
            </w:r>
          </w:p>
        </w:tc>
        <w:tc>
          <w:tcPr>
            <w:tcW w:w="6940" w:type="dxa"/>
          </w:tcPr>
          <w:p w14:paraId="4F69D282" w14:textId="77777777" w:rsidR="00521C2D" w:rsidRPr="00B30B06" w:rsidRDefault="00521C2D" w:rsidP="000C5ADE">
            <w:pPr>
              <w:spacing w:line="240" w:lineRule="auto"/>
              <w:rPr>
                <w:rFonts w:cs="Times New Roman"/>
                <w:sz w:val="20"/>
                <w:szCs w:val="20"/>
                <w:lang w:val="en-GB"/>
              </w:rPr>
            </w:pPr>
            <w:r w:rsidRPr="00B30B06">
              <w:rPr>
                <w:rFonts w:cs="Times New Roman"/>
                <w:sz w:val="20"/>
                <w:szCs w:val="20"/>
                <w:lang w:val="en-GB"/>
              </w:rPr>
              <w:t>Responsibilities should be divided to avoid the situation when one employee is entirely responsible for one aspect (e.g. financial) of the company’s operations.</w:t>
            </w:r>
          </w:p>
        </w:tc>
      </w:tr>
      <w:tr w:rsidR="00521C2D" w:rsidRPr="00521C2D" w14:paraId="4ECC4BB0" w14:textId="77777777" w:rsidTr="000C5ADE">
        <w:tc>
          <w:tcPr>
            <w:tcW w:w="2122" w:type="dxa"/>
          </w:tcPr>
          <w:p w14:paraId="6A3E8456" w14:textId="77777777" w:rsidR="00521C2D" w:rsidRPr="00B30B06" w:rsidRDefault="00521C2D" w:rsidP="000C5ADE">
            <w:pPr>
              <w:spacing w:line="240" w:lineRule="auto"/>
              <w:jc w:val="left"/>
              <w:rPr>
                <w:rFonts w:cs="Times New Roman"/>
                <w:sz w:val="20"/>
                <w:szCs w:val="20"/>
                <w:lang w:val="en-GB"/>
              </w:rPr>
            </w:pPr>
            <w:r w:rsidRPr="00B30B06">
              <w:rPr>
                <w:rFonts w:cs="Times New Roman"/>
                <w:sz w:val="20"/>
                <w:szCs w:val="20"/>
                <w:lang w:val="en-GB"/>
              </w:rPr>
              <w:t>Implement procedures for critical processes</w:t>
            </w:r>
          </w:p>
          <w:p w14:paraId="7B67D32C" w14:textId="77777777" w:rsidR="00521C2D" w:rsidRPr="00B30B06" w:rsidRDefault="00521C2D" w:rsidP="000C5ADE">
            <w:pPr>
              <w:spacing w:line="240" w:lineRule="auto"/>
              <w:jc w:val="left"/>
              <w:rPr>
                <w:rFonts w:cs="Times New Roman"/>
                <w:sz w:val="20"/>
                <w:szCs w:val="20"/>
                <w:lang w:val="en-GB"/>
              </w:rPr>
            </w:pPr>
          </w:p>
        </w:tc>
        <w:tc>
          <w:tcPr>
            <w:tcW w:w="6940" w:type="dxa"/>
          </w:tcPr>
          <w:p w14:paraId="591D2975" w14:textId="77777777" w:rsidR="00521C2D" w:rsidRPr="00B30B06" w:rsidRDefault="00521C2D" w:rsidP="000C5ADE">
            <w:pPr>
              <w:spacing w:line="240" w:lineRule="auto"/>
              <w:rPr>
                <w:rFonts w:cs="Times New Roman"/>
                <w:sz w:val="20"/>
                <w:szCs w:val="20"/>
                <w:lang w:val="en-GB"/>
              </w:rPr>
            </w:pPr>
            <w:r w:rsidRPr="00B30B06">
              <w:rPr>
                <w:rFonts w:cs="Times New Roman"/>
                <w:sz w:val="20"/>
                <w:szCs w:val="20"/>
                <w:lang w:val="en-GB"/>
              </w:rPr>
              <w:t>Critical processes in an organisation include those related to the circulation of cash or other funds and assets, as well as the recording and monitoring of the working time in the case of remote work. The necessary procedures must be implemented and then verified for compliance.</w:t>
            </w:r>
          </w:p>
        </w:tc>
      </w:tr>
      <w:tr w:rsidR="00521C2D" w:rsidRPr="00521C2D" w14:paraId="7D3FC117" w14:textId="77777777" w:rsidTr="000C5ADE">
        <w:tc>
          <w:tcPr>
            <w:tcW w:w="2122" w:type="dxa"/>
          </w:tcPr>
          <w:p w14:paraId="0E808525" w14:textId="77777777" w:rsidR="00521C2D" w:rsidRPr="00B30B06" w:rsidRDefault="00521C2D" w:rsidP="000C5ADE">
            <w:pPr>
              <w:spacing w:line="240" w:lineRule="auto"/>
              <w:jc w:val="left"/>
              <w:rPr>
                <w:rFonts w:cs="Times New Roman"/>
                <w:sz w:val="20"/>
                <w:szCs w:val="20"/>
                <w:lang w:val="en-GB"/>
              </w:rPr>
            </w:pPr>
            <w:r w:rsidRPr="00B30B06">
              <w:rPr>
                <w:rFonts w:cs="Times New Roman"/>
                <w:sz w:val="20"/>
                <w:szCs w:val="20"/>
                <w:lang w:val="en-GB"/>
              </w:rPr>
              <w:t>Enterprise data analytics</w:t>
            </w:r>
          </w:p>
          <w:p w14:paraId="738086A0" w14:textId="77777777" w:rsidR="00521C2D" w:rsidRPr="00B30B06" w:rsidRDefault="00521C2D" w:rsidP="000C5ADE">
            <w:pPr>
              <w:spacing w:line="240" w:lineRule="auto"/>
              <w:jc w:val="left"/>
              <w:rPr>
                <w:rFonts w:cs="Times New Roman"/>
                <w:sz w:val="20"/>
                <w:szCs w:val="20"/>
                <w:lang w:val="en-GB"/>
              </w:rPr>
            </w:pPr>
          </w:p>
        </w:tc>
        <w:tc>
          <w:tcPr>
            <w:tcW w:w="6940" w:type="dxa"/>
          </w:tcPr>
          <w:p w14:paraId="24B98C15" w14:textId="77777777" w:rsidR="00521C2D" w:rsidRPr="00B30B06" w:rsidRDefault="00521C2D" w:rsidP="000C5ADE">
            <w:pPr>
              <w:spacing w:line="240" w:lineRule="auto"/>
              <w:rPr>
                <w:rFonts w:cs="Times New Roman"/>
                <w:sz w:val="20"/>
                <w:szCs w:val="20"/>
                <w:lang w:val="en-GB"/>
              </w:rPr>
            </w:pPr>
            <w:r w:rsidRPr="00B30B06">
              <w:rPr>
                <w:rFonts w:cs="Times New Roman"/>
                <w:sz w:val="20"/>
                <w:szCs w:val="20"/>
                <w:lang w:val="en-GB"/>
              </w:rPr>
              <w:t xml:space="preserve">Regular analysis of data collected in the company’s systems makes it possible to verify business processes for any alarming signs or incidents that may be indicative of occupational fraud. </w:t>
            </w:r>
          </w:p>
        </w:tc>
      </w:tr>
      <w:tr w:rsidR="00521C2D" w:rsidRPr="00521C2D" w14:paraId="3D287590" w14:textId="77777777" w:rsidTr="000C5ADE">
        <w:tc>
          <w:tcPr>
            <w:tcW w:w="2122" w:type="dxa"/>
          </w:tcPr>
          <w:p w14:paraId="11DF89CB" w14:textId="77777777" w:rsidR="00521C2D" w:rsidRPr="00B30B06" w:rsidRDefault="00521C2D" w:rsidP="000C5ADE">
            <w:pPr>
              <w:spacing w:line="240" w:lineRule="auto"/>
              <w:jc w:val="left"/>
              <w:rPr>
                <w:rFonts w:cs="Times New Roman"/>
                <w:sz w:val="20"/>
                <w:szCs w:val="20"/>
                <w:lang w:val="en-GB"/>
              </w:rPr>
            </w:pPr>
            <w:r w:rsidRPr="00B30B06">
              <w:rPr>
                <w:rFonts w:cs="Times New Roman"/>
                <w:sz w:val="20"/>
                <w:szCs w:val="20"/>
                <w:lang w:val="en-GB"/>
              </w:rPr>
              <w:t>Employee training</w:t>
            </w:r>
          </w:p>
          <w:p w14:paraId="47B5DCBB" w14:textId="77777777" w:rsidR="00521C2D" w:rsidRPr="00B30B06" w:rsidRDefault="00521C2D" w:rsidP="000C5ADE">
            <w:pPr>
              <w:spacing w:line="240" w:lineRule="auto"/>
              <w:jc w:val="left"/>
              <w:rPr>
                <w:rFonts w:cs="Times New Roman"/>
                <w:sz w:val="20"/>
                <w:szCs w:val="20"/>
                <w:lang w:val="en-GB"/>
              </w:rPr>
            </w:pPr>
          </w:p>
        </w:tc>
        <w:tc>
          <w:tcPr>
            <w:tcW w:w="6940" w:type="dxa"/>
          </w:tcPr>
          <w:p w14:paraId="26E1BD50" w14:textId="77777777" w:rsidR="00521C2D" w:rsidRPr="00B30B06" w:rsidRDefault="00521C2D" w:rsidP="000C5ADE">
            <w:pPr>
              <w:spacing w:line="240" w:lineRule="auto"/>
              <w:rPr>
                <w:rFonts w:cs="Times New Roman"/>
                <w:sz w:val="20"/>
                <w:szCs w:val="20"/>
                <w:lang w:val="en-GB"/>
              </w:rPr>
            </w:pPr>
            <w:r w:rsidRPr="00B30B06">
              <w:rPr>
                <w:rFonts w:cs="Times New Roman"/>
                <w:sz w:val="20"/>
                <w:szCs w:val="20"/>
                <w:lang w:val="en-GB"/>
              </w:rPr>
              <w:t>By organising and conducting training courses on occupational fraud prevention for all employees, companies increase awareness and show how to detect such incidents and why they happen in the first place. Once provided with this knowledge, people become more reluctant to behave in a fraudulent manner.</w:t>
            </w:r>
          </w:p>
        </w:tc>
      </w:tr>
      <w:tr w:rsidR="00521C2D" w:rsidRPr="00521C2D" w14:paraId="5F86925D" w14:textId="77777777" w:rsidTr="000C5ADE">
        <w:tc>
          <w:tcPr>
            <w:tcW w:w="2122" w:type="dxa"/>
          </w:tcPr>
          <w:p w14:paraId="5432E470" w14:textId="77777777" w:rsidR="00521C2D" w:rsidRPr="00B30B06" w:rsidRDefault="00521C2D" w:rsidP="000C5ADE">
            <w:pPr>
              <w:spacing w:line="240" w:lineRule="auto"/>
              <w:jc w:val="left"/>
              <w:rPr>
                <w:rFonts w:cs="Times New Roman"/>
                <w:sz w:val="20"/>
                <w:szCs w:val="20"/>
                <w:lang w:val="en-GB"/>
              </w:rPr>
            </w:pPr>
            <w:r w:rsidRPr="00B30B06">
              <w:rPr>
                <w:rFonts w:cs="Times New Roman"/>
                <w:sz w:val="20"/>
                <w:szCs w:val="20"/>
                <w:lang w:val="en-GB"/>
              </w:rPr>
              <w:t>Regular risk reviews and updates</w:t>
            </w:r>
          </w:p>
          <w:p w14:paraId="3F726F55" w14:textId="77777777" w:rsidR="00521C2D" w:rsidRPr="00B30B06" w:rsidRDefault="00521C2D" w:rsidP="000C5ADE">
            <w:pPr>
              <w:spacing w:line="240" w:lineRule="auto"/>
              <w:jc w:val="left"/>
              <w:rPr>
                <w:rFonts w:cs="Times New Roman"/>
                <w:sz w:val="20"/>
                <w:szCs w:val="20"/>
                <w:lang w:val="en-GB"/>
              </w:rPr>
            </w:pPr>
          </w:p>
        </w:tc>
        <w:tc>
          <w:tcPr>
            <w:tcW w:w="6940" w:type="dxa"/>
          </w:tcPr>
          <w:p w14:paraId="2425F722" w14:textId="77777777" w:rsidR="00521C2D" w:rsidRPr="00B30B06" w:rsidRDefault="00521C2D" w:rsidP="000C5ADE">
            <w:pPr>
              <w:spacing w:line="240" w:lineRule="auto"/>
              <w:rPr>
                <w:rFonts w:cs="Times New Roman"/>
                <w:sz w:val="20"/>
                <w:szCs w:val="20"/>
                <w:lang w:val="en-GB"/>
              </w:rPr>
            </w:pPr>
            <w:r w:rsidRPr="00B30B06">
              <w:rPr>
                <w:rFonts w:cs="Times New Roman"/>
                <w:sz w:val="20"/>
                <w:szCs w:val="20"/>
                <w:lang w:val="en-GB"/>
              </w:rPr>
              <w:t>A systematic verification and updates on the identified occupational fraud risk types are recommended even if the company has not implemented a comprehensive risk management system.</w:t>
            </w:r>
          </w:p>
        </w:tc>
      </w:tr>
      <w:tr w:rsidR="00521C2D" w:rsidRPr="00521C2D" w14:paraId="59C7BCF7" w14:textId="77777777" w:rsidTr="000C5ADE">
        <w:tc>
          <w:tcPr>
            <w:tcW w:w="2122" w:type="dxa"/>
          </w:tcPr>
          <w:p w14:paraId="48A9F0C5" w14:textId="77777777" w:rsidR="00521C2D" w:rsidRPr="00B30B06" w:rsidRDefault="00521C2D" w:rsidP="000C5ADE">
            <w:pPr>
              <w:spacing w:line="240" w:lineRule="auto"/>
              <w:jc w:val="left"/>
              <w:rPr>
                <w:rFonts w:cs="Times New Roman"/>
                <w:sz w:val="20"/>
                <w:szCs w:val="20"/>
                <w:lang w:val="en-GB"/>
              </w:rPr>
            </w:pPr>
            <w:r w:rsidRPr="00B30B06">
              <w:rPr>
                <w:rFonts w:cs="Times New Roman"/>
                <w:sz w:val="20"/>
                <w:szCs w:val="20"/>
                <w:lang w:val="en-GB"/>
              </w:rPr>
              <w:t xml:space="preserve">Provide employees with tools and resources necessary to achieve goals </w:t>
            </w:r>
          </w:p>
        </w:tc>
        <w:tc>
          <w:tcPr>
            <w:tcW w:w="6940" w:type="dxa"/>
          </w:tcPr>
          <w:p w14:paraId="3A86A07D" w14:textId="77777777" w:rsidR="00521C2D" w:rsidRPr="00B30B06" w:rsidRDefault="00521C2D" w:rsidP="000C5ADE">
            <w:pPr>
              <w:keepNext/>
              <w:spacing w:line="240" w:lineRule="auto"/>
              <w:rPr>
                <w:rFonts w:cs="Times New Roman"/>
                <w:sz w:val="20"/>
                <w:szCs w:val="20"/>
                <w:lang w:val="en-GB"/>
              </w:rPr>
            </w:pPr>
            <w:r w:rsidRPr="00B30B06">
              <w:rPr>
                <w:rFonts w:cs="Times New Roman"/>
                <w:sz w:val="20"/>
                <w:szCs w:val="20"/>
                <w:lang w:val="en-GB"/>
              </w:rPr>
              <w:t>While ambitious, the company goals should be realistic, and employees should have the appropriate resources and tools to achieve them. Otherwise, employees of SMEs may feel pushed to pursue the goals in a less ethical manner, thinking that their behaviour is justified.</w:t>
            </w:r>
          </w:p>
        </w:tc>
      </w:tr>
    </w:tbl>
    <w:p w14:paraId="44009B03" w14:textId="77777777" w:rsidR="00C76B60" w:rsidRPr="00521C2D" w:rsidRDefault="00C76B60">
      <w:pPr>
        <w:rPr>
          <w:lang w:val="en-US"/>
        </w:rPr>
      </w:pPr>
    </w:p>
    <w:sectPr w:rsidR="00C76B60" w:rsidRPr="00521C2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2D"/>
    <w:rsid w:val="00521C2D"/>
    <w:rsid w:val="006E661B"/>
    <w:rsid w:val="00C76B60"/>
    <w:rsid w:val="00CB2EFD"/>
    <w:rsid w:val="00EB2D2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96372"/>
  <w15:chartTrackingRefBased/>
  <w15:docId w15:val="{47D99D06-9CD4-4DD0-B486-804DAABC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C2D"/>
    <w:pPr>
      <w:spacing w:after="0" w:line="312"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21C2D"/>
    <w:rPr>
      <w:rFonts w:eastAsia="Times New Roman"/>
      <w:lang w:val="en-US" w:eastAsia="pl-P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Words>
  <Characters>2927</Characters>
  <Application>Microsoft Office Word</Application>
  <DocSecurity>0</DocSecurity>
  <Lines>51</Lines>
  <Paragraphs>14</Paragraphs>
  <ScaleCrop>false</ScaleCrop>
  <Company/>
  <LinksUpToDate>false</LinksUpToDate>
  <CharactersWithSpaces>3418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Grzegorz Wojtkowiak</dc:creator>
  <cp:keywords/>
  <dc:description/>
  <cp:lastModifiedBy>Grzegorz Wojtkowiak</cp:lastModifiedBy>
  <cp:revision>1</cp:revision>
  <dcterms:created xsi:type="dcterms:W3CDTF">2022-07-21T09:26:00Z</dcterms:created>
  <dcterms:modified xsi:type="dcterms:W3CDTF">2022-07-21T09:26:00Z</dcterms:modified>
</cp:coreProperties>
</file>