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22"/>
        <w:gridCol w:w="6940"/>
      </w:tblGrid>
      <w:tr w:rsidR="00521C2D" w:rsidRPr="00B30B06" w14:paraId="225DA1BD" w14:textId="77777777" w:rsidTr="000C5ADE">
        <w:trPr>
          <w:tblHeader/>
        </w:trPr>
        <w:tc>
          <w:tcPr>
            <w:tcW w:w="2122" w:type="dxa"/>
            <w:shd w:val="clear" w:color="auto" w:fill="404040" w:themeFill="text1" w:themeFillTint="BF"/>
          </w:tcPr>
          <w:p w14:paraId="572934A2" w14:textId="77777777" w:rsidR="00521C2D" w:rsidRPr="00B30B06" w:rsidRDefault="00521C2D" w:rsidP="000C5ADE">
            <w:pPr>
              <w:spacing w:line="240" w:lineRule="auto"/>
              <w:jc w:val="center"/>
              <w:rPr>
                <w:rFonts w:cs="Times New Roman"/>
                <w:b/>
                <w:color w:val="FFFFFF" w:themeColor="background1"/>
                <w:sz w:val="20"/>
                <w:szCs w:val="20"/>
                <w:lang w:val="en-GB"/>
              </w:rPr>
            </w:pPr>
            <w:r w:rsidRPr="00B30B06">
              <w:rPr>
                <w:rFonts w:cs="Times New Roman"/>
                <w:b/>
                <w:color w:val="FFFFFF" w:themeColor="background1"/>
                <w:sz w:val="20"/>
                <w:szCs w:val="20"/>
                <w:lang w:val="en-GB"/>
              </w:rPr>
              <w:t>Recommendation</w:t>
            </w:r>
          </w:p>
        </w:tc>
        <w:tc>
          <w:tcPr>
            <w:tcW w:w="6940" w:type="dxa"/>
            <w:shd w:val="clear" w:color="auto" w:fill="404040" w:themeFill="text1" w:themeFillTint="BF"/>
          </w:tcPr>
          <w:p w14:paraId="62D50CEC" w14:textId="77777777" w:rsidR="00521C2D" w:rsidRPr="00B30B06" w:rsidRDefault="00521C2D" w:rsidP="000C5ADE">
            <w:pPr>
              <w:spacing w:line="240" w:lineRule="auto"/>
              <w:jc w:val="center"/>
              <w:rPr>
                <w:rFonts w:cs="Times New Roman"/>
                <w:b/>
                <w:color w:val="FFFFFF" w:themeColor="background1"/>
                <w:sz w:val="20"/>
                <w:szCs w:val="20"/>
                <w:lang w:val="en-GB"/>
              </w:rPr>
            </w:pPr>
            <w:r w:rsidRPr="00B30B06">
              <w:rPr>
                <w:rFonts w:cs="Times New Roman"/>
                <w:b/>
                <w:color w:val="FFFFFF" w:themeColor="background1"/>
                <w:sz w:val="20"/>
                <w:szCs w:val="20"/>
                <w:lang w:val="en-GB"/>
              </w:rPr>
              <w:t>Description</w:t>
            </w:r>
          </w:p>
        </w:tc>
      </w:tr>
      <w:tr w:rsidR="00521C2D" w:rsidRPr="00B30B06" w14:paraId="4AEA1FA0" w14:textId="77777777" w:rsidTr="000C5ADE">
        <w:tc>
          <w:tcPr>
            <w:tcW w:w="9062" w:type="dxa"/>
            <w:gridSpan w:val="2"/>
            <w:shd w:val="clear" w:color="auto" w:fill="A6A6A6" w:themeFill="background1" w:themeFillShade="A6"/>
          </w:tcPr>
          <w:p w14:paraId="7D1287A1" w14:textId="77777777" w:rsidR="00521C2D" w:rsidRPr="00B30B06" w:rsidRDefault="00521C2D" w:rsidP="000C5ADE">
            <w:pPr>
              <w:spacing w:line="240" w:lineRule="auto"/>
              <w:jc w:val="center"/>
              <w:rPr>
                <w:rFonts w:cs="Times New Roman"/>
                <w:b/>
                <w:bCs/>
                <w:sz w:val="20"/>
                <w:szCs w:val="20"/>
                <w:lang w:val="en-GB"/>
              </w:rPr>
            </w:pPr>
            <w:r w:rsidRPr="00B30B06">
              <w:rPr>
                <w:rFonts w:cs="Times New Roman"/>
                <w:b/>
                <w:bCs/>
                <w:sz w:val="20"/>
                <w:szCs w:val="20"/>
                <w:lang w:val="en-GB"/>
              </w:rPr>
              <w:t>Soft</w:t>
            </w:r>
          </w:p>
        </w:tc>
      </w:tr>
      <w:tr w:rsidR="00521C2D" w:rsidRPr="00521C2D" w14:paraId="43275F33" w14:textId="77777777" w:rsidTr="000C5ADE">
        <w:tc>
          <w:tcPr>
            <w:tcW w:w="2122" w:type="dxa"/>
          </w:tcPr>
          <w:p w14:paraId="12CC2BF2"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Ethics is everything</w:t>
            </w:r>
          </w:p>
          <w:p w14:paraId="3DBEAF31" w14:textId="77777777" w:rsidR="00521C2D" w:rsidRPr="00B30B06" w:rsidRDefault="00521C2D" w:rsidP="000C5ADE">
            <w:pPr>
              <w:spacing w:line="240" w:lineRule="auto"/>
              <w:jc w:val="left"/>
              <w:rPr>
                <w:rFonts w:cs="Times New Roman"/>
                <w:sz w:val="20"/>
                <w:szCs w:val="20"/>
                <w:lang w:val="en-GB"/>
              </w:rPr>
            </w:pPr>
          </w:p>
        </w:tc>
        <w:tc>
          <w:tcPr>
            <w:tcW w:w="6940" w:type="dxa"/>
          </w:tcPr>
          <w:p w14:paraId="5753C131"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Rules of ethical conduct should be precisely defined along with what constitutes a morally acceptable behaviour. The company’s goals should always be pursued in compliance with the applicable standards – also through the implementation of the abridged Code of Conduct and Ethics.</w:t>
            </w:r>
          </w:p>
        </w:tc>
      </w:tr>
      <w:tr w:rsidR="00521C2D" w:rsidRPr="00B30B06" w14:paraId="356F219E" w14:textId="77777777" w:rsidTr="000C5ADE">
        <w:tc>
          <w:tcPr>
            <w:tcW w:w="2122" w:type="dxa"/>
          </w:tcPr>
          <w:p w14:paraId="587BFEAB"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No excuse for bad decisions even if they bring good results</w:t>
            </w:r>
          </w:p>
        </w:tc>
        <w:tc>
          <w:tcPr>
            <w:tcW w:w="6940" w:type="dxa"/>
          </w:tcPr>
          <w:p w14:paraId="27E5C97A"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Wrong, unethical decisions cannot be ignored even if they bring profits to the company – the end never justifies the means. The decision-making process requires due diligence and transparency.</w:t>
            </w:r>
          </w:p>
        </w:tc>
      </w:tr>
      <w:tr w:rsidR="00521C2D" w:rsidRPr="00521C2D" w14:paraId="76ACD865" w14:textId="77777777" w:rsidTr="000C5ADE">
        <w:tc>
          <w:tcPr>
            <w:tcW w:w="2122" w:type="dxa"/>
          </w:tcPr>
          <w:p w14:paraId="03696B24"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Lead by example</w:t>
            </w:r>
          </w:p>
        </w:tc>
        <w:tc>
          <w:tcPr>
            <w:tcW w:w="6940" w:type="dxa"/>
          </w:tcPr>
          <w:p w14:paraId="7E3FF527"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The company owners and managers who behave in a fair and ethical manner have a positive effect on employee morale, which reduces the potential inclinations to commit fraud.</w:t>
            </w:r>
          </w:p>
        </w:tc>
      </w:tr>
      <w:tr w:rsidR="00521C2D" w:rsidRPr="00521C2D" w14:paraId="005C537A" w14:textId="77777777" w:rsidTr="000C5ADE">
        <w:tc>
          <w:tcPr>
            <w:tcW w:w="2122" w:type="dxa"/>
          </w:tcPr>
          <w:p w14:paraId="5FF68503"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Involve employees in decision-making</w:t>
            </w:r>
          </w:p>
        </w:tc>
        <w:tc>
          <w:tcPr>
            <w:tcW w:w="6940" w:type="dxa"/>
          </w:tcPr>
          <w:p w14:paraId="0F59BAB4"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Including employees in the decision-making process helps them feel co-responsible for the company, which increases their integrity.</w:t>
            </w:r>
          </w:p>
        </w:tc>
      </w:tr>
      <w:tr w:rsidR="00521C2D" w:rsidRPr="00521C2D" w14:paraId="2D0C1C16" w14:textId="77777777" w:rsidTr="000C5ADE">
        <w:tc>
          <w:tcPr>
            <w:tcW w:w="2122" w:type="dxa"/>
          </w:tcPr>
          <w:p w14:paraId="70FB18C1"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Never ignore a single case of even a minor misconduct</w:t>
            </w:r>
          </w:p>
        </w:tc>
        <w:tc>
          <w:tcPr>
            <w:tcW w:w="6940" w:type="dxa"/>
          </w:tcPr>
          <w:p w14:paraId="6BF18F1C"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 xml:space="preserve">It is necessary to react and hold employees accountable for all types of occupational fraud, from the smallest ones to those that bring significant losses to the company. Smaller transgressions, if uncontrolled, pave the way for larger problems. </w:t>
            </w:r>
          </w:p>
        </w:tc>
      </w:tr>
      <w:tr w:rsidR="00521C2D" w:rsidRPr="00B30B06" w14:paraId="047D5AAE" w14:textId="77777777" w:rsidTr="000C5ADE">
        <w:tc>
          <w:tcPr>
            <w:tcW w:w="9062" w:type="dxa"/>
            <w:gridSpan w:val="2"/>
            <w:shd w:val="clear" w:color="auto" w:fill="A6A6A6" w:themeFill="background1" w:themeFillShade="A6"/>
          </w:tcPr>
          <w:p w14:paraId="449E35A9" w14:textId="77777777" w:rsidR="00521C2D" w:rsidRPr="00B30B06" w:rsidRDefault="00521C2D" w:rsidP="000C5ADE">
            <w:pPr>
              <w:spacing w:line="240" w:lineRule="auto"/>
              <w:jc w:val="center"/>
              <w:rPr>
                <w:rFonts w:cs="Times New Roman"/>
                <w:b/>
                <w:bCs/>
                <w:sz w:val="20"/>
                <w:szCs w:val="20"/>
                <w:lang w:val="en-GB"/>
              </w:rPr>
            </w:pPr>
            <w:r w:rsidRPr="00B30B06">
              <w:rPr>
                <w:rFonts w:cs="Times New Roman"/>
                <w:b/>
                <w:bCs/>
                <w:sz w:val="20"/>
                <w:szCs w:val="20"/>
                <w:lang w:val="en-GB"/>
              </w:rPr>
              <w:t>Hard</w:t>
            </w:r>
          </w:p>
        </w:tc>
      </w:tr>
      <w:tr w:rsidR="00521C2D" w:rsidRPr="00521C2D" w14:paraId="39657DDA" w14:textId="77777777" w:rsidTr="000C5ADE">
        <w:tc>
          <w:tcPr>
            <w:tcW w:w="2122" w:type="dxa"/>
          </w:tcPr>
          <w:p w14:paraId="580C8739"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 xml:space="preserve">Reporting occupational frauds must be easy </w:t>
            </w:r>
          </w:p>
        </w:tc>
        <w:tc>
          <w:tcPr>
            <w:tcW w:w="6940" w:type="dxa"/>
          </w:tcPr>
          <w:p w14:paraId="73AC7084"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Companies should implement fraud reporting mechanisms (via e-mail, regular mail, or a dedicated form on the company’s website), ensuring the anonymity of the information on the reported suspicious behaviour.</w:t>
            </w:r>
          </w:p>
        </w:tc>
      </w:tr>
      <w:tr w:rsidR="00521C2D" w:rsidRPr="00521C2D" w14:paraId="0CEE0DB0" w14:textId="77777777" w:rsidTr="000C5ADE">
        <w:tc>
          <w:tcPr>
            <w:tcW w:w="2122" w:type="dxa"/>
          </w:tcPr>
          <w:p w14:paraId="0599DE74"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Regular internal and external inspections and audits</w:t>
            </w:r>
          </w:p>
        </w:tc>
        <w:tc>
          <w:tcPr>
            <w:tcW w:w="6940" w:type="dxa"/>
          </w:tcPr>
          <w:p w14:paraId="7AF7BBD6"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Companies need to conduct regular and unannounced inspections and audits, both internal and external.</w:t>
            </w:r>
          </w:p>
        </w:tc>
      </w:tr>
      <w:tr w:rsidR="00521C2D" w:rsidRPr="00521C2D" w14:paraId="45F9FCB0" w14:textId="77777777" w:rsidTr="000C5ADE">
        <w:tc>
          <w:tcPr>
            <w:tcW w:w="2122" w:type="dxa"/>
          </w:tcPr>
          <w:p w14:paraId="238FBFAD"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Constant monitoring</w:t>
            </w:r>
          </w:p>
        </w:tc>
        <w:tc>
          <w:tcPr>
            <w:tcW w:w="6940" w:type="dxa"/>
          </w:tcPr>
          <w:p w14:paraId="5CB9262A"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The tasks performed by employees should be monitored and verified not only directly, but also based on performance reports.</w:t>
            </w:r>
          </w:p>
        </w:tc>
      </w:tr>
      <w:tr w:rsidR="00521C2D" w:rsidRPr="00521C2D" w14:paraId="29BD9D0B" w14:textId="77777777" w:rsidTr="000C5ADE">
        <w:tc>
          <w:tcPr>
            <w:tcW w:w="2122" w:type="dxa"/>
          </w:tcPr>
          <w:p w14:paraId="225FC734"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Division of responsibilities</w:t>
            </w:r>
          </w:p>
        </w:tc>
        <w:tc>
          <w:tcPr>
            <w:tcW w:w="6940" w:type="dxa"/>
          </w:tcPr>
          <w:p w14:paraId="4F69D282"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Responsibilities should be divided to avoid the situation when one employee is entirely responsible for one aspect (e.g. financial) of the company’s operations.</w:t>
            </w:r>
          </w:p>
        </w:tc>
      </w:tr>
      <w:tr w:rsidR="00521C2D" w:rsidRPr="00521C2D" w14:paraId="4ECC4BB0" w14:textId="77777777" w:rsidTr="000C5ADE">
        <w:tc>
          <w:tcPr>
            <w:tcW w:w="2122" w:type="dxa"/>
          </w:tcPr>
          <w:p w14:paraId="6A3E8456"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Implement procedures for critical processes</w:t>
            </w:r>
          </w:p>
          <w:p w14:paraId="7B67D32C" w14:textId="77777777" w:rsidR="00521C2D" w:rsidRPr="00B30B06" w:rsidRDefault="00521C2D" w:rsidP="000C5ADE">
            <w:pPr>
              <w:spacing w:line="240" w:lineRule="auto"/>
              <w:jc w:val="left"/>
              <w:rPr>
                <w:rFonts w:cs="Times New Roman"/>
                <w:sz w:val="20"/>
                <w:szCs w:val="20"/>
                <w:lang w:val="en-GB"/>
              </w:rPr>
            </w:pPr>
          </w:p>
        </w:tc>
        <w:tc>
          <w:tcPr>
            <w:tcW w:w="6940" w:type="dxa"/>
          </w:tcPr>
          <w:p w14:paraId="591D2975"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Critical processes in an organisation include those related to the circulation of cash or other funds and assets, as well as the recording and monitoring of the working time in the case of remote work. The necessary procedures must be implemented and then verified for compliance.</w:t>
            </w:r>
          </w:p>
        </w:tc>
      </w:tr>
      <w:tr w:rsidR="00521C2D" w:rsidRPr="00521C2D" w14:paraId="7D3FC117" w14:textId="77777777" w:rsidTr="000C5ADE">
        <w:tc>
          <w:tcPr>
            <w:tcW w:w="2122" w:type="dxa"/>
          </w:tcPr>
          <w:p w14:paraId="0E808525"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Enterprise data analytics</w:t>
            </w:r>
          </w:p>
          <w:p w14:paraId="738086A0" w14:textId="77777777" w:rsidR="00521C2D" w:rsidRPr="00B30B06" w:rsidRDefault="00521C2D" w:rsidP="000C5ADE">
            <w:pPr>
              <w:spacing w:line="240" w:lineRule="auto"/>
              <w:jc w:val="left"/>
              <w:rPr>
                <w:rFonts w:cs="Times New Roman"/>
                <w:sz w:val="20"/>
                <w:szCs w:val="20"/>
                <w:lang w:val="en-GB"/>
              </w:rPr>
            </w:pPr>
          </w:p>
        </w:tc>
        <w:tc>
          <w:tcPr>
            <w:tcW w:w="6940" w:type="dxa"/>
          </w:tcPr>
          <w:p w14:paraId="24B98C15"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 xml:space="preserve">Regular analysis of data collected in the company’s systems makes it possible to verify business processes for any alarming signs or incidents that may be indicative of occupational fraud. </w:t>
            </w:r>
          </w:p>
        </w:tc>
      </w:tr>
      <w:tr w:rsidR="00521C2D" w:rsidRPr="00521C2D" w14:paraId="3D287590" w14:textId="77777777" w:rsidTr="000C5ADE">
        <w:tc>
          <w:tcPr>
            <w:tcW w:w="2122" w:type="dxa"/>
          </w:tcPr>
          <w:p w14:paraId="11DF89CB"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Employee training</w:t>
            </w:r>
          </w:p>
          <w:p w14:paraId="47B5DCBB" w14:textId="77777777" w:rsidR="00521C2D" w:rsidRPr="00B30B06" w:rsidRDefault="00521C2D" w:rsidP="000C5ADE">
            <w:pPr>
              <w:spacing w:line="240" w:lineRule="auto"/>
              <w:jc w:val="left"/>
              <w:rPr>
                <w:rFonts w:cs="Times New Roman"/>
                <w:sz w:val="20"/>
                <w:szCs w:val="20"/>
                <w:lang w:val="en-GB"/>
              </w:rPr>
            </w:pPr>
          </w:p>
        </w:tc>
        <w:tc>
          <w:tcPr>
            <w:tcW w:w="6940" w:type="dxa"/>
          </w:tcPr>
          <w:p w14:paraId="26E1BD50"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By organising and conducting training courses on occupational fraud prevention for all employees, companies increase awareness and show how to detect such incidents and why they happen in the first place. Once provided with this knowledge, people become more reluctant to behave in a fraudulent manner.</w:t>
            </w:r>
          </w:p>
        </w:tc>
      </w:tr>
      <w:tr w:rsidR="00521C2D" w:rsidRPr="00521C2D" w14:paraId="5F86925D" w14:textId="77777777" w:rsidTr="000C5ADE">
        <w:tc>
          <w:tcPr>
            <w:tcW w:w="2122" w:type="dxa"/>
          </w:tcPr>
          <w:p w14:paraId="5432E470"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Regular risk reviews and updates</w:t>
            </w:r>
          </w:p>
          <w:p w14:paraId="3F726F55" w14:textId="77777777" w:rsidR="00521C2D" w:rsidRPr="00B30B06" w:rsidRDefault="00521C2D" w:rsidP="000C5ADE">
            <w:pPr>
              <w:spacing w:line="240" w:lineRule="auto"/>
              <w:jc w:val="left"/>
              <w:rPr>
                <w:rFonts w:cs="Times New Roman"/>
                <w:sz w:val="20"/>
                <w:szCs w:val="20"/>
                <w:lang w:val="en-GB"/>
              </w:rPr>
            </w:pPr>
          </w:p>
        </w:tc>
        <w:tc>
          <w:tcPr>
            <w:tcW w:w="6940" w:type="dxa"/>
          </w:tcPr>
          <w:p w14:paraId="2425F722" w14:textId="77777777" w:rsidR="00521C2D" w:rsidRPr="00B30B06" w:rsidRDefault="00521C2D" w:rsidP="000C5ADE">
            <w:pPr>
              <w:spacing w:line="240" w:lineRule="auto"/>
              <w:rPr>
                <w:rFonts w:cs="Times New Roman"/>
                <w:sz w:val="20"/>
                <w:szCs w:val="20"/>
                <w:lang w:val="en-GB"/>
              </w:rPr>
            </w:pPr>
            <w:r w:rsidRPr="00B30B06">
              <w:rPr>
                <w:rFonts w:cs="Times New Roman"/>
                <w:sz w:val="20"/>
                <w:szCs w:val="20"/>
                <w:lang w:val="en-GB"/>
              </w:rPr>
              <w:t>A systematic verification and updates on the identified occupational fraud risk types are recommended even if the company has not implemented a comprehensive risk management system.</w:t>
            </w:r>
          </w:p>
        </w:tc>
      </w:tr>
      <w:tr w:rsidR="00521C2D" w:rsidRPr="00521C2D" w14:paraId="59C7BCF7" w14:textId="77777777" w:rsidTr="000C5ADE">
        <w:tc>
          <w:tcPr>
            <w:tcW w:w="2122" w:type="dxa"/>
          </w:tcPr>
          <w:p w14:paraId="48A9F0C5" w14:textId="77777777" w:rsidR="00521C2D" w:rsidRPr="00B30B06" w:rsidRDefault="00521C2D" w:rsidP="000C5ADE">
            <w:pPr>
              <w:spacing w:line="240" w:lineRule="auto"/>
              <w:jc w:val="left"/>
              <w:rPr>
                <w:rFonts w:cs="Times New Roman"/>
                <w:sz w:val="20"/>
                <w:szCs w:val="20"/>
                <w:lang w:val="en-GB"/>
              </w:rPr>
            </w:pPr>
            <w:r w:rsidRPr="00B30B06">
              <w:rPr>
                <w:rFonts w:cs="Times New Roman"/>
                <w:sz w:val="20"/>
                <w:szCs w:val="20"/>
                <w:lang w:val="en-GB"/>
              </w:rPr>
              <w:t xml:space="preserve">Provide employees with tools and resources necessary to achieve goals </w:t>
            </w:r>
          </w:p>
        </w:tc>
        <w:tc>
          <w:tcPr>
            <w:tcW w:w="6940" w:type="dxa"/>
          </w:tcPr>
          <w:p w14:paraId="3A86A07D" w14:textId="77777777" w:rsidR="00521C2D" w:rsidRPr="00B30B06" w:rsidRDefault="00521C2D" w:rsidP="000C5ADE">
            <w:pPr>
              <w:keepNext/>
              <w:spacing w:line="240" w:lineRule="auto"/>
              <w:rPr>
                <w:rFonts w:cs="Times New Roman"/>
                <w:sz w:val="20"/>
                <w:szCs w:val="20"/>
                <w:lang w:val="en-GB"/>
              </w:rPr>
            </w:pPr>
            <w:r w:rsidRPr="00B30B06">
              <w:rPr>
                <w:rFonts w:cs="Times New Roman"/>
                <w:sz w:val="20"/>
                <w:szCs w:val="20"/>
                <w:lang w:val="en-GB"/>
              </w:rPr>
              <w:t>While ambitious, the company goals should be realistic, and employees should have the appropriate resources and tools to achieve them. Otherwise, employees of SMEs may feel pushed to pursue the goals in a less ethical manner, thinking that their behaviour is justified.</w:t>
            </w:r>
          </w:p>
        </w:tc>
      </w:tr>
    </w:tbl>
    <w:p w14:paraId="44009B03" w14:textId="77777777" w:rsidR="00C76B60" w:rsidRPr="00521C2D" w:rsidRDefault="00C76B60">
      <w:pPr>
        <w:rPr>
          <w:lang w:val="en-US"/>
        </w:rPr>
      </w:pPr>
    </w:p>
    <w:sectPr w:rsidR="00C76B60" w:rsidRPr="00521C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2D"/>
    <w:rsid w:val="00521C2D"/>
    <w:rsid w:val="006E661B"/>
    <w:rsid w:val="00C76B60"/>
    <w:rsid w:val="00CB2EFD"/>
    <w:rsid w:val="00EB2D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6372"/>
  <w15:chartTrackingRefBased/>
  <w15:docId w15:val="{47D99D06-9CD4-4DD0-B486-804DAABC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C2D"/>
    <w:pPr>
      <w:spacing w:after="0" w:line="312"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1C2D"/>
    <w:rPr>
      <w:rFonts w:eastAsia="Times New Roman"/>
      <w:lang w:val="en-US"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505</Words>
  <Characters>2927</Characters>
  <Application>Microsoft Office Word</Application>
  <DocSecurity>0</DocSecurity>
  <Lines>51</Lines>
  <Paragraphs>14</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Wojtkowiak</dc:creator>
  <cp:keywords/>
  <dc:description/>
  <cp:lastModifiedBy>Grzegorz Wojtkowiak</cp:lastModifiedBy>
  <cp:revision>1</cp:revision>
  <dcterms:created xsi:type="dcterms:W3CDTF">2022-07-21T09:26:00Z</dcterms:created>
  <dcterms:modified xsi:type="dcterms:W3CDTF">2022-07-21T09:26:00Z</dcterms:modified>
</cp:coreProperties>
</file>