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0F" w:rsidRPr="004A6CC6" w:rsidRDefault="005A028D" w:rsidP="005A028D">
      <w:pPr>
        <w:shd w:val="clear" w:color="auto" w:fill="FFFFFF"/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bCs/>
          <w:color w:val="000000"/>
          <w:sz w:val="32"/>
          <w:szCs w:val="28"/>
          <w:lang w:val="en-US" w:eastAsia="ru-RU"/>
        </w:rPr>
      </w:pPr>
      <w:r w:rsidRPr="004A6CC6">
        <w:rPr>
          <w:rFonts w:ascii="Times New Roman" w:eastAsia="Calibri" w:hAnsi="Times New Roman" w:cs="Times New Roman"/>
          <w:b/>
          <w:bCs/>
          <w:color w:val="000000"/>
          <w:sz w:val="32"/>
          <w:szCs w:val="28"/>
          <w:lang w:val="en-US" w:eastAsia="ru-RU"/>
        </w:rPr>
        <w:t>Interval Effect During the Covid-19 Pandemic-Case of the Warsaw Stock Exchange</w:t>
      </w:r>
    </w:p>
    <w:p w:rsidR="005A028D" w:rsidRPr="004A6CC6" w:rsidRDefault="005A028D" w:rsidP="005A028D">
      <w:pPr>
        <w:shd w:val="clear" w:color="auto" w:fill="FFFFFF"/>
        <w:spacing w:after="0" w:line="240" w:lineRule="auto"/>
        <w:contextualSpacing/>
        <w:mirrorIndents/>
        <w:rPr>
          <w:rFonts w:ascii="Times New Roman" w:eastAsia="Calibri" w:hAnsi="Times New Roman" w:cs="Times New Roman"/>
          <w:bCs/>
          <w:caps/>
          <w:color w:val="000000"/>
          <w:sz w:val="32"/>
          <w:szCs w:val="28"/>
          <w:lang w:val="pl-PL" w:eastAsia="ru-RU"/>
        </w:rPr>
      </w:pPr>
      <w:r w:rsidRPr="004A6CC6">
        <w:rPr>
          <w:rFonts w:ascii="Times New Roman" w:eastAsia="Calibri" w:hAnsi="Times New Roman" w:cs="Times New Roman"/>
          <w:bCs/>
          <w:color w:val="000000"/>
          <w:sz w:val="32"/>
          <w:szCs w:val="28"/>
          <w:lang w:val="pl-PL" w:eastAsia="ru-RU"/>
        </w:rPr>
        <w:t>Efekt interwału w trakcie pandemii COVID-19 na przykładzie GPW w Warszawie</w:t>
      </w:r>
    </w:p>
    <w:p w:rsidR="003B180F" w:rsidRPr="004A6CC6" w:rsidRDefault="003B180F" w:rsidP="003B180F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ru-RU"/>
        </w:rPr>
      </w:pPr>
    </w:p>
    <w:p w:rsidR="003B180F" w:rsidRPr="004A6CC6" w:rsidRDefault="003B180F" w:rsidP="00E0670A">
      <w:pPr>
        <w:pStyle w:val="Author"/>
        <w:contextualSpacing/>
        <w:mirrorIndents/>
        <w:jc w:val="left"/>
        <w:rPr>
          <w:sz w:val="28"/>
          <w:lang w:eastAsia="ru-RU"/>
        </w:rPr>
      </w:pPr>
      <w:bookmarkStart w:id="0" w:name="_Toc496103046"/>
      <w:r w:rsidRPr="004A6CC6">
        <w:rPr>
          <w:sz w:val="28"/>
          <w:lang w:eastAsia="ru-RU"/>
        </w:rPr>
        <w:t xml:space="preserve">Lisicki </w:t>
      </w:r>
      <w:bookmarkEnd w:id="0"/>
      <w:r w:rsidRPr="004A6CC6">
        <w:rPr>
          <w:sz w:val="28"/>
          <w:lang w:eastAsia="ru-RU"/>
        </w:rPr>
        <w:t>Bartłomiej</w:t>
      </w:r>
    </w:p>
    <w:p w:rsidR="003B180F" w:rsidRPr="004A6CC6" w:rsidRDefault="003B180F" w:rsidP="00E0670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A6CC6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University of Economics in Katowice,</w:t>
      </w:r>
      <w:r w:rsidR="004A6CC6" w:rsidRPr="004A6CC6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 xml:space="preserve"> Department of Accounting,</w:t>
      </w:r>
    </w:p>
    <w:p w:rsidR="003B180F" w:rsidRPr="004A6CC6" w:rsidRDefault="004A6CC6" w:rsidP="00E0670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</w:pPr>
      <w:r w:rsidRPr="004A6CC6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 xml:space="preserve">bartlomiej.lisicki@ue.katowice.pl, </w:t>
      </w:r>
      <w:r w:rsidR="00F656A2" w:rsidRPr="004A6CC6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ORCID: 0000-0002-8455-4312</w:t>
      </w:r>
    </w:p>
    <w:p w:rsidR="003B180F" w:rsidRPr="004A6CC6" w:rsidRDefault="003B180F" w:rsidP="003B180F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3B180F" w:rsidRPr="004A6CC6" w:rsidRDefault="003B180F" w:rsidP="003B180F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3B180F" w:rsidRPr="004A6CC6" w:rsidRDefault="003B180F" w:rsidP="003B180F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3B180F" w:rsidRPr="004A6CC6" w:rsidRDefault="003B180F" w:rsidP="003B180F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</w:pPr>
      <w:r w:rsidRPr="004A6CC6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ABSTRACT</w:t>
      </w:r>
    </w:p>
    <w:p w:rsidR="003B180F" w:rsidRPr="004A6CC6" w:rsidRDefault="00A13483" w:rsidP="003B180F">
      <w:pPr>
        <w:pStyle w:val="AbstratctText"/>
        <w:contextualSpacing/>
        <w:mirrorIndents/>
        <w:rPr>
          <w:i w:val="0"/>
          <w:sz w:val="20"/>
          <w:szCs w:val="20"/>
        </w:rPr>
      </w:pPr>
      <w:r w:rsidRPr="004A6CC6">
        <w:rPr>
          <w:b/>
          <w:i w:val="0"/>
          <w:sz w:val="20"/>
          <w:szCs w:val="20"/>
        </w:rPr>
        <w:t>Objective</w:t>
      </w:r>
      <w:r w:rsidRPr="004A6CC6">
        <w:rPr>
          <w:i w:val="0"/>
          <w:sz w:val="20"/>
          <w:szCs w:val="20"/>
        </w:rPr>
        <w:t xml:space="preserve">: </w:t>
      </w:r>
      <w:r w:rsidR="005A028D" w:rsidRPr="004A6CC6">
        <w:rPr>
          <w:i w:val="0"/>
          <w:sz w:val="20"/>
          <w:szCs w:val="20"/>
        </w:rPr>
        <w:t xml:space="preserve">Outbreak of the COVID-19 pandemic and significant destabilization of economic conditions, which caused, </w:t>
      </w:r>
      <w:r w:rsidR="00851CE8" w:rsidRPr="004A6CC6">
        <w:rPr>
          <w:i w:val="0"/>
          <w:sz w:val="20"/>
          <w:szCs w:val="20"/>
        </w:rPr>
        <w:t>creates research motives that can be used to discover new dependencies in capital markets. Main</w:t>
      </w:r>
      <w:r w:rsidR="003B180F" w:rsidRPr="004A6CC6">
        <w:rPr>
          <w:i w:val="0"/>
          <w:sz w:val="20"/>
          <w:szCs w:val="20"/>
        </w:rPr>
        <w:t xml:space="preserve"> aim of this study is to determine whether the occurrence of the interval effect</w:t>
      </w:r>
      <w:r w:rsidR="005A028D" w:rsidRPr="004A6CC6">
        <w:rPr>
          <w:i w:val="0"/>
          <w:sz w:val="20"/>
          <w:szCs w:val="20"/>
        </w:rPr>
        <w:t xml:space="preserve"> of beta coefficients (β)</w:t>
      </w:r>
      <w:r w:rsidR="003B180F" w:rsidRPr="004A6CC6">
        <w:rPr>
          <w:i w:val="0"/>
          <w:sz w:val="20"/>
          <w:szCs w:val="20"/>
        </w:rPr>
        <w:t xml:space="preserve"> occurred among shares in Warsaw Stock Exchange Index (WIG) during the COVID-19 pandemic. </w:t>
      </w:r>
    </w:p>
    <w:p w:rsidR="00A13483" w:rsidRPr="004A6CC6" w:rsidRDefault="00A13483" w:rsidP="003B180F">
      <w:pPr>
        <w:pStyle w:val="AbstratctText"/>
        <w:contextualSpacing/>
        <w:mirrorIndents/>
        <w:rPr>
          <w:i w:val="0"/>
          <w:sz w:val="20"/>
          <w:szCs w:val="20"/>
        </w:rPr>
      </w:pPr>
      <w:r w:rsidRPr="004A6CC6">
        <w:rPr>
          <w:b/>
          <w:i w:val="0"/>
          <w:sz w:val="20"/>
          <w:szCs w:val="20"/>
        </w:rPr>
        <w:t xml:space="preserve">Research design &amp; Methods: </w:t>
      </w:r>
      <w:r w:rsidR="003B180F" w:rsidRPr="004A6CC6">
        <w:rPr>
          <w:i w:val="0"/>
          <w:sz w:val="20"/>
          <w:szCs w:val="20"/>
        </w:rPr>
        <w:t xml:space="preserve">The author of this </w:t>
      </w:r>
      <w:r w:rsidR="00027924" w:rsidRPr="004A6CC6">
        <w:rPr>
          <w:i w:val="0"/>
          <w:sz w:val="20"/>
          <w:szCs w:val="20"/>
        </w:rPr>
        <w:t>article</w:t>
      </w:r>
      <w:r w:rsidR="003B180F" w:rsidRPr="004A6CC6">
        <w:rPr>
          <w:i w:val="0"/>
          <w:sz w:val="20"/>
          <w:szCs w:val="20"/>
        </w:rPr>
        <w:t xml:space="preserve"> intends to check whether in the year of the spread of the COVID-19 pandemic (2020</w:t>
      </w:r>
      <w:r w:rsidR="005A028D" w:rsidRPr="004A6CC6">
        <w:rPr>
          <w:i w:val="0"/>
          <w:sz w:val="20"/>
          <w:szCs w:val="20"/>
        </w:rPr>
        <w:t xml:space="preserve">-20201) </w:t>
      </w:r>
      <w:r w:rsidR="003B180F" w:rsidRPr="004A6CC6">
        <w:rPr>
          <w:i w:val="0"/>
          <w:sz w:val="20"/>
          <w:szCs w:val="20"/>
        </w:rPr>
        <w:t>it was possible to observe other levels of the β of companies from the WIG in the situation of a different approach to estimating returns on their shares (daily, weekly,</w:t>
      </w:r>
      <w:r w:rsidR="00FC5C11" w:rsidRPr="004A6CC6">
        <w:rPr>
          <w:i w:val="0"/>
          <w:sz w:val="20"/>
          <w:szCs w:val="20"/>
        </w:rPr>
        <w:t xml:space="preserve"> biweekly and</w:t>
      </w:r>
      <w:r w:rsidR="003B180F" w:rsidRPr="004A6CC6">
        <w:rPr>
          <w:i w:val="0"/>
          <w:sz w:val="20"/>
          <w:szCs w:val="20"/>
        </w:rPr>
        <w:t xml:space="preserve"> monthly).</w:t>
      </w:r>
      <w:r w:rsidRPr="004A6CC6">
        <w:rPr>
          <w:i w:val="0"/>
          <w:sz w:val="20"/>
          <w:szCs w:val="20"/>
        </w:rPr>
        <w:t xml:space="preserve"> </w:t>
      </w:r>
      <w:r w:rsidR="005A028D" w:rsidRPr="004A6CC6">
        <w:rPr>
          <w:i w:val="0"/>
          <w:sz w:val="20"/>
          <w:szCs w:val="20"/>
        </w:rPr>
        <w:t xml:space="preserve">β </w:t>
      </w:r>
      <w:r w:rsidRPr="004A6CC6">
        <w:rPr>
          <w:i w:val="0"/>
          <w:sz w:val="20"/>
          <w:szCs w:val="20"/>
        </w:rPr>
        <w:t>coefficients will be calculated by use the ordinary least squares method (OLS)</w:t>
      </w:r>
      <w:r w:rsidR="00851CE8" w:rsidRPr="004A6CC6">
        <w:rPr>
          <w:i w:val="0"/>
          <w:sz w:val="20"/>
          <w:szCs w:val="20"/>
        </w:rPr>
        <w:t xml:space="preserve"> on the research sample of 128 companies grouped in the three main WSE indices: WIG20, mWIG40 and sWIG80.</w:t>
      </w:r>
    </w:p>
    <w:p w:rsidR="00A13483" w:rsidRPr="004A6CC6" w:rsidRDefault="00A13483" w:rsidP="003B180F">
      <w:pPr>
        <w:pStyle w:val="AbstratctText"/>
        <w:contextualSpacing/>
        <w:mirrorIndents/>
        <w:rPr>
          <w:b/>
          <w:i w:val="0"/>
          <w:sz w:val="20"/>
          <w:szCs w:val="20"/>
        </w:rPr>
      </w:pPr>
      <w:r w:rsidRPr="004A6CC6">
        <w:rPr>
          <w:b/>
          <w:i w:val="0"/>
          <w:sz w:val="20"/>
          <w:szCs w:val="20"/>
        </w:rPr>
        <w:t>Findings:</w:t>
      </w:r>
      <w:r w:rsidR="00440F54" w:rsidRPr="004A6CC6">
        <w:rPr>
          <w:b/>
          <w:i w:val="0"/>
          <w:sz w:val="20"/>
          <w:szCs w:val="20"/>
        </w:rPr>
        <w:t xml:space="preserve"> </w:t>
      </w:r>
      <w:r w:rsidR="005A028D" w:rsidRPr="004A6CC6">
        <w:rPr>
          <w:i w:val="0"/>
          <w:sz w:val="20"/>
          <w:szCs w:val="20"/>
        </w:rPr>
        <w:t>The values of the β coefficients, calculated on the basis of different time horizons of the returns (daily, weekly, biweekly and monthly), were characterized by significant differences.</w:t>
      </w:r>
      <w:r w:rsidR="00440F54" w:rsidRPr="004A6CC6">
        <w:rPr>
          <w:i w:val="0"/>
          <w:sz w:val="20"/>
          <w:szCs w:val="20"/>
        </w:rPr>
        <w:t xml:space="preserve"> It is worth adding that these differences were statistically significant for pairs of β calculated on the basis of daily and weekly/biweekly/monthly returns, as well </w:t>
      </w:r>
      <w:r w:rsidR="005A028D" w:rsidRPr="004A6CC6">
        <w:rPr>
          <w:i w:val="0"/>
          <w:sz w:val="20"/>
          <w:szCs w:val="20"/>
        </w:rPr>
        <w:t xml:space="preserve">as for weekly and biweekly ones. </w:t>
      </w:r>
      <w:r w:rsidR="00440F54" w:rsidRPr="004A6CC6">
        <w:rPr>
          <w:i w:val="0"/>
          <w:sz w:val="20"/>
          <w:szCs w:val="20"/>
        </w:rPr>
        <w:t xml:space="preserve">Moreover, </w:t>
      </w:r>
      <w:r w:rsidR="005A028D" w:rsidRPr="004A6CC6">
        <w:rPr>
          <w:i w:val="0"/>
          <w:sz w:val="20"/>
          <w:szCs w:val="20"/>
        </w:rPr>
        <w:t>it was noted</w:t>
      </w:r>
      <w:r w:rsidR="00440F54" w:rsidRPr="004A6CC6">
        <w:rPr>
          <w:i w:val="0"/>
          <w:sz w:val="20"/>
          <w:szCs w:val="20"/>
        </w:rPr>
        <w:t xml:space="preserve"> that the interval effect is invariably stronger in relation to companies with lower capitalization.</w:t>
      </w:r>
    </w:p>
    <w:p w:rsidR="00A13483" w:rsidRPr="004A6CC6" w:rsidRDefault="00A13483" w:rsidP="003B180F">
      <w:pPr>
        <w:pStyle w:val="AbstratctText"/>
        <w:contextualSpacing/>
        <w:mirrorIndents/>
        <w:rPr>
          <w:b/>
          <w:i w:val="0"/>
          <w:sz w:val="20"/>
          <w:szCs w:val="20"/>
        </w:rPr>
      </w:pPr>
      <w:r w:rsidRPr="004A6CC6">
        <w:rPr>
          <w:b/>
          <w:i w:val="0"/>
          <w:sz w:val="20"/>
          <w:szCs w:val="20"/>
        </w:rPr>
        <w:t xml:space="preserve">Implications: </w:t>
      </w:r>
      <w:r w:rsidR="005A028D" w:rsidRPr="004A6CC6">
        <w:rPr>
          <w:i w:val="0"/>
          <w:sz w:val="20"/>
          <w:szCs w:val="20"/>
        </w:rPr>
        <w:t>Obtained results indicate that the COVID-19 pandemic did not influence on the occurence of the interval effect observed on the polish capital market earlier, but only slightly changed some of its detailed characteristics.</w:t>
      </w:r>
    </w:p>
    <w:p w:rsidR="003B180F" w:rsidRPr="004A6CC6" w:rsidRDefault="00A13483" w:rsidP="005A028D">
      <w:pPr>
        <w:pStyle w:val="AbstratctText"/>
        <w:spacing w:after="240"/>
        <w:mirrorIndents/>
        <w:rPr>
          <w:i w:val="0"/>
          <w:sz w:val="20"/>
          <w:szCs w:val="20"/>
        </w:rPr>
      </w:pPr>
      <w:r w:rsidRPr="004A6CC6">
        <w:rPr>
          <w:b/>
          <w:i w:val="0"/>
          <w:sz w:val="20"/>
          <w:szCs w:val="20"/>
        </w:rPr>
        <w:t xml:space="preserve">Contribution: </w:t>
      </w:r>
      <w:r w:rsidR="003B180F" w:rsidRPr="004A6CC6">
        <w:rPr>
          <w:i w:val="0"/>
          <w:sz w:val="20"/>
          <w:szCs w:val="20"/>
        </w:rPr>
        <w:t>Conducting research on the occurrence of the interval effect during the COVID-19 pandemic on the</w:t>
      </w:r>
      <w:r w:rsidR="00A9146D" w:rsidRPr="004A6CC6">
        <w:rPr>
          <w:i w:val="0"/>
          <w:sz w:val="20"/>
          <w:szCs w:val="20"/>
        </w:rPr>
        <w:t xml:space="preserve"> Warsaw Stock Exchange</w:t>
      </w:r>
      <w:r w:rsidR="003B180F" w:rsidRPr="004A6CC6">
        <w:rPr>
          <w:i w:val="0"/>
          <w:sz w:val="20"/>
          <w:szCs w:val="20"/>
        </w:rPr>
        <w:t xml:space="preserve"> </w:t>
      </w:r>
      <w:r w:rsidR="00A9146D" w:rsidRPr="004A6CC6">
        <w:rPr>
          <w:i w:val="0"/>
          <w:sz w:val="20"/>
          <w:szCs w:val="20"/>
        </w:rPr>
        <w:t>(</w:t>
      </w:r>
      <w:r w:rsidR="003B180F" w:rsidRPr="004A6CC6">
        <w:rPr>
          <w:i w:val="0"/>
          <w:sz w:val="20"/>
          <w:szCs w:val="20"/>
        </w:rPr>
        <w:t>WSE</w:t>
      </w:r>
      <w:r w:rsidR="00A9146D" w:rsidRPr="004A6CC6">
        <w:rPr>
          <w:i w:val="0"/>
          <w:sz w:val="20"/>
          <w:szCs w:val="20"/>
        </w:rPr>
        <w:t>)</w:t>
      </w:r>
      <w:r w:rsidR="003B180F" w:rsidRPr="004A6CC6">
        <w:rPr>
          <w:i w:val="0"/>
          <w:sz w:val="20"/>
          <w:szCs w:val="20"/>
        </w:rPr>
        <w:t xml:space="preserve"> will allow to deepen the knowledge of capital market participants in the scope of the possibility of using the </w:t>
      </w:r>
      <w:r w:rsidR="00FC5C11" w:rsidRPr="004A6CC6">
        <w:rPr>
          <w:i w:val="0"/>
          <w:sz w:val="20"/>
          <w:szCs w:val="20"/>
        </w:rPr>
        <w:t xml:space="preserve">β </w:t>
      </w:r>
      <w:r w:rsidR="003B180F" w:rsidRPr="004A6CC6">
        <w:rPr>
          <w:i w:val="0"/>
          <w:sz w:val="20"/>
          <w:szCs w:val="20"/>
        </w:rPr>
        <w:t>to measure systematic risk in times of instability on capital markets.</w:t>
      </w:r>
    </w:p>
    <w:p w:rsidR="005A028D" w:rsidRPr="004A6CC6" w:rsidRDefault="005A028D" w:rsidP="005A028D">
      <w:pPr>
        <w:pStyle w:val="AbstratctText"/>
        <w:spacing w:before="240"/>
        <w:contextualSpacing/>
        <w:mirrorIndents/>
        <w:rPr>
          <w:i w:val="0"/>
          <w:sz w:val="20"/>
          <w:szCs w:val="20"/>
        </w:rPr>
      </w:pPr>
      <w:r w:rsidRPr="004A6CC6">
        <w:rPr>
          <w:b/>
          <w:i w:val="0"/>
          <w:sz w:val="20"/>
          <w:szCs w:val="20"/>
        </w:rPr>
        <w:t xml:space="preserve">Article type: </w:t>
      </w:r>
      <w:r w:rsidRPr="004A6CC6">
        <w:rPr>
          <w:i w:val="0"/>
          <w:sz w:val="20"/>
          <w:szCs w:val="20"/>
        </w:rPr>
        <w:t xml:space="preserve">original article. </w:t>
      </w:r>
    </w:p>
    <w:p w:rsidR="003B180F" w:rsidRPr="004A6CC6" w:rsidRDefault="005A028D" w:rsidP="005A02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A6CC6">
        <w:rPr>
          <w:rFonts w:ascii="Times New Roman" w:hAnsi="Times New Roman" w:cs="Times New Roman"/>
          <w:b/>
          <w:bCs/>
          <w:sz w:val="20"/>
          <w:szCs w:val="20"/>
          <w:lang w:val="en-US"/>
        </w:rPr>
        <w:t>Keywords</w:t>
      </w:r>
      <w:r w:rsidRPr="004A6CC6">
        <w:rPr>
          <w:rFonts w:ascii="Times New Roman" w:hAnsi="Times New Roman" w:cs="Times New Roman"/>
          <w:bCs/>
          <w:sz w:val="20"/>
          <w:szCs w:val="20"/>
          <w:lang w:val="en-US"/>
        </w:rPr>
        <w:t>:</w:t>
      </w:r>
      <w:r w:rsidRPr="004A6CC6">
        <w:rPr>
          <w:rFonts w:ascii="Times New Roman" w:hAnsi="Times New Roman" w:cs="Times New Roman"/>
          <w:sz w:val="20"/>
          <w:szCs w:val="20"/>
          <w:lang w:val="en-US"/>
        </w:rPr>
        <w:t xml:space="preserve"> interval effect, beta coefficient, COVID-19, Warsaw Stock Exchange, shares.</w:t>
      </w:r>
    </w:p>
    <w:p w:rsidR="00CF4293" w:rsidRPr="004A6CC6" w:rsidRDefault="00CF4293" w:rsidP="00CF429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A6CC6">
        <w:rPr>
          <w:rFonts w:ascii="Times New Roman" w:hAnsi="Times New Roman" w:cs="Times New Roman"/>
          <w:b/>
          <w:sz w:val="20"/>
          <w:szCs w:val="20"/>
          <w:lang w:val="en-US"/>
        </w:rPr>
        <w:t>JEL classification</w:t>
      </w:r>
      <w:r w:rsidRPr="004A6CC6">
        <w:rPr>
          <w:rFonts w:ascii="Times New Roman" w:hAnsi="Times New Roman" w:cs="Times New Roman"/>
          <w:sz w:val="20"/>
          <w:szCs w:val="20"/>
          <w:lang w:val="en-US"/>
        </w:rPr>
        <w:t>: C20, G1</w:t>
      </w:r>
      <w:r w:rsidR="004F2093" w:rsidRPr="004A6CC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4A6CC6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4F2093" w:rsidRPr="004A6CC6">
        <w:rPr>
          <w:rFonts w:ascii="Times New Roman" w:hAnsi="Times New Roman" w:cs="Times New Roman"/>
          <w:sz w:val="20"/>
          <w:szCs w:val="20"/>
          <w:lang w:val="en-US"/>
        </w:rPr>
        <w:t xml:space="preserve"> G12,</w:t>
      </w:r>
      <w:r w:rsidRPr="004A6CC6">
        <w:rPr>
          <w:rFonts w:ascii="Times New Roman" w:hAnsi="Times New Roman" w:cs="Times New Roman"/>
          <w:sz w:val="20"/>
          <w:szCs w:val="20"/>
          <w:lang w:val="en-US"/>
        </w:rPr>
        <w:t xml:space="preserve"> G17.</w:t>
      </w:r>
    </w:p>
    <w:p w:rsidR="004A6CC6" w:rsidRPr="00E0670A" w:rsidRDefault="004A6CC6" w:rsidP="004A6CC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sz w:val="20"/>
          <w:szCs w:val="24"/>
          <w:lang w:val="pl-PL" w:eastAsia="ru-RU"/>
        </w:rPr>
      </w:pPr>
      <w:r w:rsidRPr="00E0670A">
        <w:rPr>
          <w:rFonts w:ascii="Times New Roman" w:eastAsia="Times New Roman" w:hAnsi="Times New Roman" w:cs="Times New Roman"/>
          <w:b/>
          <w:sz w:val="20"/>
          <w:szCs w:val="24"/>
          <w:lang w:val="pl-PL" w:eastAsia="ru-RU"/>
        </w:rPr>
        <w:t>STRESZCZENIE</w:t>
      </w:r>
    </w:p>
    <w:p w:rsidR="004A6CC6" w:rsidRPr="00E0670A" w:rsidRDefault="004A6CC6" w:rsidP="004A6CC6">
      <w:pPr>
        <w:pStyle w:val="AbstratctText"/>
        <w:contextualSpacing/>
        <w:mirrorIndents/>
        <w:rPr>
          <w:i w:val="0"/>
          <w:sz w:val="20"/>
          <w:szCs w:val="20"/>
          <w:lang w:val="pl-PL"/>
        </w:rPr>
      </w:pPr>
      <w:r w:rsidRPr="00166277">
        <w:rPr>
          <w:b/>
          <w:i w:val="0"/>
          <w:sz w:val="20"/>
          <w:szCs w:val="20"/>
          <w:lang w:val="pl-PL"/>
        </w:rPr>
        <w:t>Cel</w:t>
      </w:r>
      <w:r w:rsidRPr="00166277">
        <w:rPr>
          <w:i w:val="0"/>
          <w:sz w:val="20"/>
          <w:szCs w:val="20"/>
          <w:lang w:val="pl-PL"/>
        </w:rPr>
        <w:t xml:space="preserve">: </w:t>
      </w:r>
      <w:r w:rsidR="00166277" w:rsidRPr="00166277">
        <w:rPr>
          <w:i w:val="0"/>
          <w:sz w:val="20"/>
          <w:szCs w:val="20"/>
          <w:lang w:val="pl-PL"/>
        </w:rPr>
        <w:t>Głównym celem niniejszego opracowania jest weryfikacja występowania tzw. efektu interwału współczynnika beta (</w:t>
      </w:r>
      <w:r w:rsidR="00166277" w:rsidRPr="004A6CC6">
        <w:rPr>
          <w:i w:val="0"/>
          <w:sz w:val="20"/>
          <w:szCs w:val="20"/>
        </w:rPr>
        <w:t>β</w:t>
      </w:r>
      <w:r w:rsidR="00166277" w:rsidRPr="00166277">
        <w:rPr>
          <w:i w:val="0"/>
          <w:sz w:val="20"/>
          <w:szCs w:val="20"/>
          <w:lang w:val="pl-PL"/>
        </w:rPr>
        <w:t>) akcji spółek notowanych na GPW w Warszawie</w:t>
      </w:r>
      <w:r w:rsidR="00200845">
        <w:rPr>
          <w:i w:val="0"/>
          <w:sz w:val="20"/>
          <w:szCs w:val="20"/>
          <w:lang w:val="pl-PL"/>
        </w:rPr>
        <w:t xml:space="preserve"> (GPW)</w:t>
      </w:r>
      <w:r w:rsidR="00166277" w:rsidRPr="00166277">
        <w:rPr>
          <w:i w:val="0"/>
          <w:sz w:val="20"/>
          <w:szCs w:val="20"/>
          <w:lang w:val="pl-PL"/>
        </w:rPr>
        <w:t xml:space="preserve"> w trakcie trwania pandemii COVID-19.</w:t>
      </w:r>
      <w:r w:rsidR="00166277">
        <w:rPr>
          <w:i w:val="0"/>
          <w:sz w:val="20"/>
          <w:szCs w:val="20"/>
          <w:lang w:val="pl-PL"/>
        </w:rPr>
        <w:t xml:space="preserve"> </w:t>
      </w:r>
      <w:r w:rsidR="00166277" w:rsidRPr="00166277">
        <w:rPr>
          <w:i w:val="0"/>
          <w:sz w:val="20"/>
          <w:szCs w:val="20"/>
          <w:lang w:val="pl-PL"/>
        </w:rPr>
        <w:t xml:space="preserve">Wybuch i rozprzestrzenianie pandemii zdestabilizowały funkcjonowanie wielu gałęzi gospodarki, w tym rynków kapitałowych, co może skłaniać do poszukiwania nowych, bądź potwierdzania wcześniej zauważonych zależności dotyczących ich funkcjonowania. </w:t>
      </w:r>
    </w:p>
    <w:p w:rsidR="00E33773" w:rsidRPr="00E33773" w:rsidRDefault="004A6CC6" w:rsidP="004A6CC6">
      <w:pPr>
        <w:pStyle w:val="AbstratctText"/>
        <w:contextualSpacing/>
        <w:mirrorIndents/>
        <w:rPr>
          <w:i w:val="0"/>
          <w:sz w:val="20"/>
          <w:szCs w:val="20"/>
          <w:lang w:val="pl-PL"/>
        </w:rPr>
      </w:pPr>
      <w:r w:rsidRPr="00E33773">
        <w:rPr>
          <w:b/>
          <w:i w:val="0"/>
          <w:sz w:val="20"/>
          <w:szCs w:val="20"/>
          <w:lang w:val="pl-PL"/>
        </w:rPr>
        <w:t xml:space="preserve">Metodyka badań: </w:t>
      </w:r>
      <w:r w:rsidR="00E33773" w:rsidRPr="00E33773">
        <w:rPr>
          <w:i w:val="0"/>
          <w:sz w:val="20"/>
          <w:szCs w:val="20"/>
          <w:lang w:val="pl-PL"/>
        </w:rPr>
        <w:t xml:space="preserve">Zamierzeniem autora jest weryfikacja wartości </w:t>
      </w:r>
      <w:r w:rsidR="00E33773" w:rsidRPr="004A6CC6">
        <w:rPr>
          <w:i w:val="0"/>
          <w:sz w:val="20"/>
          <w:szCs w:val="20"/>
        </w:rPr>
        <w:t>β</w:t>
      </w:r>
      <w:r w:rsidR="00E33773" w:rsidRPr="00E33773">
        <w:rPr>
          <w:i w:val="0"/>
          <w:sz w:val="20"/>
          <w:szCs w:val="20"/>
          <w:lang w:val="pl-PL"/>
        </w:rPr>
        <w:t xml:space="preserve"> akcji spółek notowanych w indeksie WIG </w:t>
      </w:r>
      <w:r w:rsidR="00E33773">
        <w:rPr>
          <w:i w:val="0"/>
          <w:sz w:val="20"/>
          <w:szCs w:val="20"/>
          <w:lang w:val="pl-PL"/>
        </w:rPr>
        <w:t xml:space="preserve">w trakcie trwania pandemii COVID-19 przy wykorzystaniu zróżnicowanego horyzontu czasowego stóp zwrotu (dziennych, tygodniowych, dwutygodniowych i miesięcznych). Współczynniki </w:t>
      </w:r>
      <w:r w:rsidR="00E33773" w:rsidRPr="004A6CC6">
        <w:rPr>
          <w:i w:val="0"/>
          <w:sz w:val="20"/>
          <w:szCs w:val="20"/>
        </w:rPr>
        <w:t>β</w:t>
      </w:r>
      <w:r w:rsidR="00E33773" w:rsidRPr="00E33773">
        <w:rPr>
          <w:i w:val="0"/>
          <w:sz w:val="20"/>
          <w:szCs w:val="20"/>
          <w:lang w:val="pl-PL"/>
        </w:rPr>
        <w:t xml:space="preserve"> zostaną obliczone przy wykorzystaniu klasycznej metody najmniejszych kwadratów (KMNK) na próbie badawczej 128 największych podmiotów zgrupowanych w indeksach: WIG20, mWIG40 oraz sWIG80.</w:t>
      </w:r>
    </w:p>
    <w:p w:rsidR="00E33773" w:rsidRPr="00200845" w:rsidRDefault="004A6CC6" w:rsidP="004A6CC6">
      <w:pPr>
        <w:pStyle w:val="AbstratctText"/>
        <w:contextualSpacing/>
        <w:mirrorIndents/>
        <w:rPr>
          <w:i w:val="0"/>
          <w:sz w:val="20"/>
          <w:szCs w:val="20"/>
          <w:lang w:val="pl-PL"/>
        </w:rPr>
      </w:pPr>
      <w:r w:rsidRPr="00200845">
        <w:rPr>
          <w:b/>
          <w:i w:val="0"/>
          <w:sz w:val="20"/>
          <w:szCs w:val="20"/>
          <w:lang w:val="pl-PL"/>
        </w:rPr>
        <w:t xml:space="preserve">Wyniki badań: </w:t>
      </w:r>
      <w:r w:rsidR="00200845" w:rsidRPr="00200845">
        <w:rPr>
          <w:i w:val="0"/>
          <w:sz w:val="20"/>
          <w:szCs w:val="20"/>
          <w:lang w:val="pl-PL"/>
        </w:rPr>
        <w:t xml:space="preserve">Analizując wartości współczynników </w:t>
      </w:r>
      <w:r w:rsidR="00200845" w:rsidRPr="004A6CC6">
        <w:rPr>
          <w:i w:val="0"/>
          <w:sz w:val="20"/>
          <w:szCs w:val="20"/>
        </w:rPr>
        <w:t>β</w:t>
      </w:r>
      <w:r w:rsidR="00200845" w:rsidRPr="00200845">
        <w:rPr>
          <w:i w:val="0"/>
          <w:sz w:val="20"/>
          <w:szCs w:val="20"/>
          <w:lang w:val="pl-PL"/>
        </w:rPr>
        <w:t xml:space="preserve"> szacowanych w oparciu o </w:t>
      </w:r>
      <w:r w:rsidR="00200845">
        <w:rPr>
          <w:i w:val="0"/>
          <w:sz w:val="20"/>
          <w:szCs w:val="20"/>
          <w:lang w:val="pl-PL"/>
        </w:rPr>
        <w:t>wskazane</w:t>
      </w:r>
      <w:r w:rsidR="00200845" w:rsidRPr="00200845">
        <w:rPr>
          <w:i w:val="0"/>
          <w:sz w:val="20"/>
          <w:szCs w:val="20"/>
          <w:lang w:val="pl-PL"/>
        </w:rPr>
        <w:t xml:space="preserve"> horyzonty czasowe stóp zwrotu w latach pandemii COVID-19 można dostrzec znaczne </w:t>
      </w:r>
      <w:r w:rsidR="00200845">
        <w:rPr>
          <w:i w:val="0"/>
          <w:sz w:val="20"/>
          <w:szCs w:val="20"/>
          <w:lang w:val="pl-PL"/>
        </w:rPr>
        <w:t xml:space="preserve">różnice między nimi. Co więcej, różnice te są istotne statystyczne. Wskazuje to na występowanie efektu interwału </w:t>
      </w:r>
      <w:r w:rsidR="00200845" w:rsidRPr="004A6CC6">
        <w:rPr>
          <w:i w:val="0"/>
          <w:sz w:val="20"/>
          <w:szCs w:val="20"/>
        </w:rPr>
        <w:t>β</w:t>
      </w:r>
      <w:r w:rsidR="00200845" w:rsidRPr="00200845">
        <w:rPr>
          <w:i w:val="0"/>
          <w:sz w:val="20"/>
          <w:szCs w:val="20"/>
          <w:lang w:val="pl-PL"/>
        </w:rPr>
        <w:t xml:space="preserve"> w badanym okresie. </w:t>
      </w:r>
      <w:r w:rsidR="00200845">
        <w:rPr>
          <w:i w:val="0"/>
          <w:sz w:val="20"/>
          <w:szCs w:val="20"/>
          <w:lang w:val="pl-PL"/>
        </w:rPr>
        <w:t>Ponadto efekt ten jest silniejszy dla spółek o niższym poziomie kapitalizacji.</w:t>
      </w:r>
    </w:p>
    <w:p w:rsidR="00200845" w:rsidRPr="00200845" w:rsidRDefault="004A6CC6" w:rsidP="004A6CC6">
      <w:pPr>
        <w:pStyle w:val="AbstratctText"/>
        <w:contextualSpacing/>
        <w:mirrorIndents/>
        <w:rPr>
          <w:b/>
          <w:i w:val="0"/>
          <w:sz w:val="20"/>
          <w:szCs w:val="20"/>
          <w:lang w:val="pl-PL"/>
        </w:rPr>
      </w:pPr>
      <w:r w:rsidRPr="00200845">
        <w:rPr>
          <w:b/>
          <w:i w:val="0"/>
          <w:sz w:val="20"/>
          <w:szCs w:val="20"/>
          <w:lang w:val="pl-PL"/>
        </w:rPr>
        <w:lastRenderedPageBreak/>
        <w:t>Wnioski:</w:t>
      </w:r>
      <w:r w:rsidR="00200845" w:rsidRPr="00200845">
        <w:rPr>
          <w:b/>
          <w:i w:val="0"/>
          <w:sz w:val="20"/>
          <w:szCs w:val="20"/>
          <w:lang w:val="pl-PL"/>
        </w:rPr>
        <w:t xml:space="preserve"> </w:t>
      </w:r>
      <w:r w:rsidR="00200845" w:rsidRPr="00200845">
        <w:rPr>
          <w:i w:val="0"/>
          <w:sz w:val="20"/>
          <w:szCs w:val="20"/>
          <w:lang w:val="pl-PL"/>
        </w:rPr>
        <w:t xml:space="preserve">Bazując na uzyskanych rezultatach badawczych można wskazać, że pandemia COVID-19 nie zaburzyła występowania efektu interwału współczynników </w:t>
      </w:r>
      <w:r w:rsidR="00200845" w:rsidRPr="004A6CC6">
        <w:rPr>
          <w:i w:val="0"/>
          <w:sz w:val="20"/>
          <w:szCs w:val="20"/>
        </w:rPr>
        <w:t>β</w:t>
      </w:r>
      <w:r w:rsidR="00200845" w:rsidRPr="00200845">
        <w:rPr>
          <w:i w:val="0"/>
          <w:sz w:val="20"/>
          <w:szCs w:val="20"/>
          <w:lang w:val="pl-PL"/>
        </w:rPr>
        <w:t>.</w:t>
      </w:r>
      <w:r w:rsidR="00200845">
        <w:rPr>
          <w:i w:val="0"/>
          <w:sz w:val="20"/>
          <w:szCs w:val="20"/>
          <w:lang w:val="pl-PL"/>
        </w:rPr>
        <w:t xml:space="preserve"> Miała wpływ na pewne szczegółowe jego charakterystyki, które w pewnej części różniły się od wcześniejszych obserwacji.</w:t>
      </w:r>
      <w:r w:rsidRPr="00200845">
        <w:rPr>
          <w:b/>
          <w:i w:val="0"/>
          <w:sz w:val="20"/>
          <w:szCs w:val="20"/>
          <w:lang w:val="pl-PL"/>
        </w:rPr>
        <w:t xml:space="preserve"> </w:t>
      </w:r>
    </w:p>
    <w:p w:rsidR="00200845" w:rsidRPr="00200845" w:rsidRDefault="004A6CC6" w:rsidP="004A6CC6">
      <w:pPr>
        <w:pStyle w:val="AbstratctText"/>
        <w:spacing w:after="240"/>
        <w:mirrorIndents/>
        <w:rPr>
          <w:i w:val="0"/>
          <w:sz w:val="20"/>
          <w:szCs w:val="20"/>
          <w:lang w:val="pl-PL"/>
        </w:rPr>
      </w:pPr>
      <w:r w:rsidRPr="00200845">
        <w:rPr>
          <w:b/>
          <w:i w:val="0"/>
          <w:sz w:val="20"/>
          <w:szCs w:val="20"/>
          <w:lang w:val="pl-PL"/>
        </w:rPr>
        <w:t xml:space="preserve">Wkład w rozwój dyscypliny: </w:t>
      </w:r>
      <w:r w:rsidR="00200845" w:rsidRPr="00200845">
        <w:rPr>
          <w:i w:val="0"/>
          <w:sz w:val="20"/>
          <w:szCs w:val="20"/>
          <w:lang w:val="pl-PL"/>
        </w:rPr>
        <w:t xml:space="preserve">Przeprowadzone badania oraz uzyskane wyniki dotyczące występowania efektu interwału współczynników </w:t>
      </w:r>
      <w:r w:rsidR="00200845" w:rsidRPr="004A6CC6">
        <w:rPr>
          <w:i w:val="0"/>
          <w:sz w:val="20"/>
          <w:szCs w:val="20"/>
        </w:rPr>
        <w:t>β</w:t>
      </w:r>
      <w:r w:rsidR="00200845" w:rsidRPr="00200845">
        <w:rPr>
          <w:i w:val="0"/>
          <w:sz w:val="20"/>
          <w:szCs w:val="20"/>
          <w:lang w:val="pl-PL"/>
        </w:rPr>
        <w:t xml:space="preserve"> akcji spółek notowanych na GPW</w:t>
      </w:r>
      <w:r w:rsidR="00200845">
        <w:rPr>
          <w:i w:val="0"/>
          <w:sz w:val="20"/>
          <w:szCs w:val="20"/>
          <w:lang w:val="pl-PL"/>
        </w:rPr>
        <w:t xml:space="preserve"> pozwalają pogłębić wiedzę uczestników rynku kapitałowego w zakresie możliwego wykorzystania </w:t>
      </w:r>
      <w:r w:rsidR="00200845" w:rsidRPr="004A6CC6">
        <w:rPr>
          <w:i w:val="0"/>
          <w:sz w:val="20"/>
          <w:szCs w:val="20"/>
        </w:rPr>
        <w:t>β</w:t>
      </w:r>
      <w:r w:rsidR="00200845" w:rsidRPr="00200845">
        <w:rPr>
          <w:i w:val="0"/>
          <w:sz w:val="20"/>
          <w:szCs w:val="20"/>
          <w:lang w:val="pl-PL"/>
        </w:rPr>
        <w:t xml:space="preserve"> do pomiaru ryzyka systematycznego akcji spółek w czasach podwyższonej zmienności.</w:t>
      </w:r>
    </w:p>
    <w:p w:rsidR="004A6CC6" w:rsidRPr="004A6CC6" w:rsidRDefault="004A6CC6" w:rsidP="004A6CC6">
      <w:pPr>
        <w:pStyle w:val="AbstratctText"/>
        <w:spacing w:before="240"/>
        <w:contextualSpacing/>
        <w:mirrorIndents/>
        <w:rPr>
          <w:i w:val="0"/>
          <w:sz w:val="20"/>
          <w:szCs w:val="20"/>
          <w:lang w:val="pl-PL"/>
        </w:rPr>
      </w:pPr>
      <w:r w:rsidRPr="004A6CC6">
        <w:rPr>
          <w:b/>
          <w:i w:val="0"/>
          <w:sz w:val="20"/>
          <w:szCs w:val="20"/>
          <w:lang w:val="pl-PL"/>
        </w:rPr>
        <w:t xml:space="preserve">Typ artykułu: </w:t>
      </w:r>
      <w:r w:rsidRPr="004A6CC6">
        <w:rPr>
          <w:i w:val="0"/>
          <w:sz w:val="20"/>
          <w:szCs w:val="20"/>
          <w:lang w:val="pl-PL"/>
        </w:rPr>
        <w:t xml:space="preserve">oryginalny artykuł naukowy. </w:t>
      </w:r>
    </w:p>
    <w:p w:rsidR="004A6CC6" w:rsidRPr="004A6CC6" w:rsidRDefault="004A6CC6" w:rsidP="004A6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A6CC6">
        <w:rPr>
          <w:rFonts w:ascii="Times New Roman" w:hAnsi="Times New Roman" w:cs="Times New Roman"/>
          <w:b/>
          <w:bCs/>
          <w:sz w:val="20"/>
          <w:szCs w:val="20"/>
          <w:lang w:val="pl-PL"/>
        </w:rPr>
        <w:t>Słowa kluczowe</w:t>
      </w:r>
      <w:r w:rsidRPr="004A6CC6">
        <w:rPr>
          <w:rFonts w:ascii="Times New Roman" w:hAnsi="Times New Roman" w:cs="Times New Roman"/>
          <w:bCs/>
          <w:sz w:val="20"/>
          <w:szCs w:val="20"/>
          <w:lang w:val="pl-PL"/>
        </w:rPr>
        <w:t>:</w:t>
      </w:r>
      <w:r w:rsidRPr="004A6CC6">
        <w:rPr>
          <w:rFonts w:ascii="Times New Roman" w:hAnsi="Times New Roman" w:cs="Times New Roman"/>
          <w:sz w:val="20"/>
          <w:szCs w:val="20"/>
          <w:lang w:val="pl-PL"/>
        </w:rPr>
        <w:t xml:space="preserve"> efekt interwału, współczynnik beta, COVID-19, GPW w Warszawie, akcje.</w:t>
      </w:r>
    </w:p>
    <w:p w:rsidR="003B180F" w:rsidRPr="004A6CC6" w:rsidRDefault="003B180F" w:rsidP="003B180F">
      <w:pPr>
        <w:pStyle w:val="AbstratctText"/>
        <w:contextualSpacing/>
        <w:mirrorIndents/>
        <w:rPr>
          <w:color w:val="70AD47" w:themeColor="accent6"/>
          <w:sz w:val="20"/>
          <w:lang w:val="pl-PL"/>
        </w:rPr>
      </w:pPr>
      <w:bookmarkStart w:id="1" w:name="_GoBack"/>
      <w:bookmarkEnd w:id="1"/>
    </w:p>
    <w:sectPr w:rsidR="003B180F" w:rsidRPr="004A6CC6" w:rsidSect="004A6CC6">
      <w:headerReference w:type="default" r:id="rId8"/>
      <w:pgSz w:w="11906" w:h="16838"/>
      <w:pgMar w:top="1418" w:right="1985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0F" w:rsidRDefault="001D0F0F" w:rsidP="00CF5342">
      <w:pPr>
        <w:spacing w:after="0" w:line="240" w:lineRule="auto"/>
      </w:pPr>
      <w:r>
        <w:separator/>
      </w:r>
    </w:p>
  </w:endnote>
  <w:endnote w:type="continuationSeparator" w:id="0">
    <w:p w:rsidR="001D0F0F" w:rsidRDefault="001D0F0F" w:rsidP="00CF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0F" w:rsidRDefault="001D0F0F" w:rsidP="00CF5342">
      <w:pPr>
        <w:spacing w:after="0" w:line="240" w:lineRule="auto"/>
      </w:pPr>
      <w:r>
        <w:separator/>
      </w:r>
    </w:p>
  </w:footnote>
  <w:footnote w:type="continuationSeparator" w:id="0">
    <w:p w:rsidR="001D0F0F" w:rsidRDefault="001D0F0F" w:rsidP="00CF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224045"/>
      <w:docPartObj>
        <w:docPartGallery w:val="Page Numbers (Top of Page)"/>
        <w:docPartUnique/>
      </w:docPartObj>
    </w:sdtPr>
    <w:sdtEndPr/>
    <w:sdtContent>
      <w:p w:rsidR="00E0670A" w:rsidRDefault="00E0670A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B47" w:rsidRPr="00DD7B47">
          <w:rPr>
            <w:noProof/>
            <w:lang w:val="pl-PL"/>
          </w:rPr>
          <w:t>2</w:t>
        </w:r>
        <w:r>
          <w:fldChar w:fldCharType="end"/>
        </w:r>
      </w:p>
    </w:sdtContent>
  </w:sdt>
  <w:p w:rsidR="00E0670A" w:rsidRDefault="00E06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0DE"/>
    <w:multiLevelType w:val="hybridMultilevel"/>
    <w:tmpl w:val="828A7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D2128"/>
    <w:multiLevelType w:val="hybridMultilevel"/>
    <w:tmpl w:val="6986C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0F"/>
    <w:rsid w:val="000049D1"/>
    <w:rsid w:val="00014073"/>
    <w:rsid w:val="00027924"/>
    <w:rsid w:val="000649A8"/>
    <w:rsid w:val="00081F0F"/>
    <w:rsid w:val="00092C62"/>
    <w:rsid w:val="0009679F"/>
    <w:rsid w:val="000C0C95"/>
    <w:rsid w:val="000C531C"/>
    <w:rsid w:val="00132E95"/>
    <w:rsid w:val="00166277"/>
    <w:rsid w:val="0016647F"/>
    <w:rsid w:val="00177C08"/>
    <w:rsid w:val="001D0F0F"/>
    <w:rsid w:val="001E4093"/>
    <w:rsid w:val="00200845"/>
    <w:rsid w:val="00204128"/>
    <w:rsid w:val="00221BC9"/>
    <w:rsid w:val="002435C9"/>
    <w:rsid w:val="00257098"/>
    <w:rsid w:val="00260766"/>
    <w:rsid w:val="002A658A"/>
    <w:rsid w:val="002B740D"/>
    <w:rsid w:val="002C1CCB"/>
    <w:rsid w:val="003116D2"/>
    <w:rsid w:val="00346A9D"/>
    <w:rsid w:val="00366818"/>
    <w:rsid w:val="00374534"/>
    <w:rsid w:val="00385029"/>
    <w:rsid w:val="003865C1"/>
    <w:rsid w:val="003B180F"/>
    <w:rsid w:val="003C4292"/>
    <w:rsid w:val="003D1CF6"/>
    <w:rsid w:val="003E2684"/>
    <w:rsid w:val="00412803"/>
    <w:rsid w:val="004268D7"/>
    <w:rsid w:val="00430969"/>
    <w:rsid w:val="00440F54"/>
    <w:rsid w:val="004467AF"/>
    <w:rsid w:val="00471EDC"/>
    <w:rsid w:val="0047354F"/>
    <w:rsid w:val="004A6CC6"/>
    <w:rsid w:val="004B088C"/>
    <w:rsid w:val="004B5D7A"/>
    <w:rsid w:val="004C5E7E"/>
    <w:rsid w:val="004D7D93"/>
    <w:rsid w:val="004F2093"/>
    <w:rsid w:val="004F3907"/>
    <w:rsid w:val="00513024"/>
    <w:rsid w:val="00513DC8"/>
    <w:rsid w:val="00535BC1"/>
    <w:rsid w:val="00543FCF"/>
    <w:rsid w:val="00553594"/>
    <w:rsid w:val="0056636C"/>
    <w:rsid w:val="00586B4F"/>
    <w:rsid w:val="00590A72"/>
    <w:rsid w:val="005A028D"/>
    <w:rsid w:val="005A1EB6"/>
    <w:rsid w:val="005A4E54"/>
    <w:rsid w:val="005A54C2"/>
    <w:rsid w:val="005C008C"/>
    <w:rsid w:val="005E0B73"/>
    <w:rsid w:val="005E314D"/>
    <w:rsid w:val="00611677"/>
    <w:rsid w:val="006127DA"/>
    <w:rsid w:val="00617DDA"/>
    <w:rsid w:val="006474EB"/>
    <w:rsid w:val="00650A4C"/>
    <w:rsid w:val="006555CF"/>
    <w:rsid w:val="0066496C"/>
    <w:rsid w:val="00664BA3"/>
    <w:rsid w:val="006859FD"/>
    <w:rsid w:val="00697D50"/>
    <w:rsid w:val="006E0308"/>
    <w:rsid w:val="00722A6D"/>
    <w:rsid w:val="0073352B"/>
    <w:rsid w:val="00772BA5"/>
    <w:rsid w:val="00787824"/>
    <w:rsid w:val="0079261A"/>
    <w:rsid w:val="00793299"/>
    <w:rsid w:val="007A311D"/>
    <w:rsid w:val="007A3745"/>
    <w:rsid w:val="007B0F0B"/>
    <w:rsid w:val="007B7C0A"/>
    <w:rsid w:val="007E575E"/>
    <w:rsid w:val="007F3F14"/>
    <w:rsid w:val="008050BD"/>
    <w:rsid w:val="008058BC"/>
    <w:rsid w:val="0081712C"/>
    <w:rsid w:val="00831E8A"/>
    <w:rsid w:val="00832D66"/>
    <w:rsid w:val="00845741"/>
    <w:rsid w:val="00846C95"/>
    <w:rsid w:val="00851CE8"/>
    <w:rsid w:val="00857B8E"/>
    <w:rsid w:val="00862C6A"/>
    <w:rsid w:val="00865C19"/>
    <w:rsid w:val="008A726C"/>
    <w:rsid w:val="008A7C71"/>
    <w:rsid w:val="008B68A2"/>
    <w:rsid w:val="008D688D"/>
    <w:rsid w:val="008E1FE7"/>
    <w:rsid w:val="00925E08"/>
    <w:rsid w:val="00930921"/>
    <w:rsid w:val="00935B3F"/>
    <w:rsid w:val="00937FDB"/>
    <w:rsid w:val="009556B0"/>
    <w:rsid w:val="00960799"/>
    <w:rsid w:val="009654C7"/>
    <w:rsid w:val="00966CFE"/>
    <w:rsid w:val="009A020A"/>
    <w:rsid w:val="009A0B6D"/>
    <w:rsid w:val="009B3DD4"/>
    <w:rsid w:val="009B6A8A"/>
    <w:rsid w:val="009C76F4"/>
    <w:rsid w:val="009D0C74"/>
    <w:rsid w:val="009E33E4"/>
    <w:rsid w:val="00A04AC3"/>
    <w:rsid w:val="00A10821"/>
    <w:rsid w:val="00A13483"/>
    <w:rsid w:val="00A17A3A"/>
    <w:rsid w:val="00A34FF0"/>
    <w:rsid w:val="00A3664F"/>
    <w:rsid w:val="00A56E4B"/>
    <w:rsid w:val="00A63D0B"/>
    <w:rsid w:val="00A64BD0"/>
    <w:rsid w:val="00A67F85"/>
    <w:rsid w:val="00A81519"/>
    <w:rsid w:val="00A825AF"/>
    <w:rsid w:val="00A9146D"/>
    <w:rsid w:val="00A93CF9"/>
    <w:rsid w:val="00AA50AB"/>
    <w:rsid w:val="00AD712F"/>
    <w:rsid w:val="00AE5D52"/>
    <w:rsid w:val="00AF087C"/>
    <w:rsid w:val="00B028E9"/>
    <w:rsid w:val="00B20505"/>
    <w:rsid w:val="00B529B9"/>
    <w:rsid w:val="00B52B57"/>
    <w:rsid w:val="00B85489"/>
    <w:rsid w:val="00BA1088"/>
    <w:rsid w:val="00BA3055"/>
    <w:rsid w:val="00BE05AD"/>
    <w:rsid w:val="00C05341"/>
    <w:rsid w:val="00C17F43"/>
    <w:rsid w:val="00C36319"/>
    <w:rsid w:val="00C653B7"/>
    <w:rsid w:val="00C94033"/>
    <w:rsid w:val="00CB3EBB"/>
    <w:rsid w:val="00CB6278"/>
    <w:rsid w:val="00CB7B3D"/>
    <w:rsid w:val="00CD7625"/>
    <w:rsid w:val="00CE0023"/>
    <w:rsid w:val="00CF1F96"/>
    <w:rsid w:val="00CF4293"/>
    <w:rsid w:val="00CF5342"/>
    <w:rsid w:val="00D76662"/>
    <w:rsid w:val="00D95923"/>
    <w:rsid w:val="00DA4B5F"/>
    <w:rsid w:val="00DB4914"/>
    <w:rsid w:val="00DD58D1"/>
    <w:rsid w:val="00DD62F9"/>
    <w:rsid w:val="00DD7B47"/>
    <w:rsid w:val="00E0670A"/>
    <w:rsid w:val="00E17D97"/>
    <w:rsid w:val="00E33773"/>
    <w:rsid w:val="00E55056"/>
    <w:rsid w:val="00E62C2B"/>
    <w:rsid w:val="00E7576B"/>
    <w:rsid w:val="00E90600"/>
    <w:rsid w:val="00E9599C"/>
    <w:rsid w:val="00ED0906"/>
    <w:rsid w:val="00F03D5A"/>
    <w:rsid w:val="00F14F47"/>
    <w:rsid w:val="00F372CE"/>
    <w:rsid w:val="00F42C40"/>
    <w:rsid w:val="00F439BC"/>
    <w:rsid w:val="00F4403B"/>
    <w:rsid w:val="00F656A2"/>
    <w:rsid w:val="00F75A37"/>
    <w:rsid w:val="00FA6E3D"/>
    <w:rsid w:val="00FC5C11"/>
    <w:rsid w:val="00FD6A4C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EACCB-C57D-4B33-8098-44EA0427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B180F"/>
    <w:rPr>
      <w:lang w:val="hr-H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link w:val="AuthorChar"/>
    <w:qFormat/>
    <w:rsid w:val="003B180F"/>
    <w:pPr>
      <w:shd w:val="clear" w:color="auto" w:fill="FFFFFF"/>
      <w:spacing w:after="0" w:line="240" w:lineRule="auto"/>
      <w:jc w:val="center"/>
    </w:pPr>
    <w:rPr>
      <w:rFonts w:ascii="Times New Roman" w:eastAsia="Calibri" w:hAnsi="Times New Roman" w:cs="Times New Roman"/>
      <w:b/>
      <w:color w:val="000000"/>
      <w:sz w:val="24"/>
      <w:szCs w:val="24"/>
      <w:lang w:val="en-US"/>
    </w:rPr>
  </w:style>
  <w:style w:type="character" w:customStyle="1" w:styleId="AuthorChar">
    <w:name w:val="Author Char"/>
    <w:basedOn w:val="Domylnaczcionkaakapitu"/>
    <w:link w:val="Author"/>
    <w:rsid w:val="003B180F"/>
    <w:rPr>
      <w:rFonts w:ascii="Times New Roman" w:eastAsia="Calibri" w:hAnsi="Times New Roman" w:cs="Times New Roman"/>
      <w:b/>
      <w:color w:val="000000"/>
      <w:sz w:val="24"/>
      <w:szCs w:val="24"/>
      <w:shd w:val="clear" w:color="auto" w:fill="FFFFFF"/>
      <w:lang w:val="en-US"/>
    </w:rPr>
  </w:style>
  <w:style w:type="paragraph" w:customStyle="1" w:styleId="AbstratctText">
    <w:name w:val="Abstratct Text"/>
    <w:basedOn w:val="Normalny"/>
    <w:link w:val="AbstratctTextChar"/>
    <w:qFormat/>
    <w:rsid w:val="003B180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val="en-US" w:eastAsia="ru-RU"/>
    </w:rPr>
  </w:style>
  <w:style w:type="paragraph" w:customStyle="1" w:styleId="BodyText1">
    <w:name w:val="Body Text1"/>
    <w:basedOn w:val="Normalny"/>
    <w:link w:val="BodytextChar"/>
    <w:qFormat/>
    <w:rsid w:val="003B180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AbstratctTextChar">
    <w:name w:val="Abstratct Text Char"/>
    <w:basedOn w:val="Domylnaczcionkaakapitu"/>
    <w:link w:val="AbstratctText"/>
    <w:rsid w:val="003B180F"/>
    <w:rPr>
      <w:rFonts w:ascii="Times New Roman" w:eastAsia="Times New Roman" w:hAnsi="Times New Roman" w:cs="Times New Roman"/>
      <w:i/>
      <w:sz w:val="24"/>
      <w:szCs w:val="24"/>
      <w:lang w:val="en-US" w:eastAsia="ru-RU"/>
    </w:rPr>
  </w:style>
  <w:style w:type="character" w:customStyle="1" w:styleId="BodytextChar">
    <w:name w:val="Body text Char"/>
    <w:basedOn w:val="Domylnaczcionkaakapitu"/>
    <w:link w:val="BodyText1"/>
    <w:rsid w:val="003B180F"/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Heading1esd">
    <w:name w:val="Heading 1 esd"/>
    <w:basedOn w:val="Normalny"/>
    <w:link w:val="Heading1esdChar"/>
    <w:qFormat/>
    <w:rsid w:val="003B180F"/>
    <w:pPr>
      <w:spacing w:after="0" w:line="240" w:lineRule="auto"/>
      <w:contextualSpacing/>
      <w:mirrorIndents/>
      <w:jc w:val="both"/>
    </w:pPr>
    <w:rPr>
      <w:rFonts w:ascii="Times New Roman Bold" w:eastAsia="Times New Roman" w:hAnsi="Times New Roman Bold" w:cs="Times New Roman"/>
      <w:b/>
      <w:caps/>
      <w:color w:val="000000"/>
      <w:sz w:val="24"/>
      <w:szCs w:val="24"/>
      <w:lang w:val="en-US" w:eastAsia="ru-RU"/>
    </w:rPr>
  </w:style>
  <w:style w:type="character" w:customStyle="1" w:styleId="Heading1esdChar">
    <w:name w:val="Heading 1 esd Char"/>
    <w:basedOn w:val="Domylnaczcionkaakapitu"/>
    <w:link w:val="Heading1esd"/>
    <w:rsid w:val="003B180F"/>
    <w:rPr>
      <w:rFonts w:ascii="Times New Roman Bold" w:eastAsia="Times New Roman" w:hAnsi="Times New Roman Bold" w:cs="Times New Roman"/>
      <w:b/>
      <w:caps/>
      <w:color w:val="000000"/>
      <w:sz w:val="24"/>
      <w:szCs w:val="24"/>
      <w:lang w:val="en-US" w:eastAsia="ru-RU"/>
    </w:rPr>
  </w:style>
  <w:style w:type="paragraph" w:styleId="Akapitzlist">
    <w:name w:val="List Paragraph"/>
    <w:basedOn w:val="Normalny"/>
    <w:uiPriority w:val="34"/>
    <w:qFormat/>
    <w:rsid w:val="003B18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56A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E2684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342"/>
    <w:rPr>
      <w:sz w:val="20"/>
      <w:szCs w:val="20"/>
      <w:lang w:val="hr-H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3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C74"/>
    <w:rPr>
      <w:lang w:val="hr-HR"/>
    </w:rPr>
  </w:style>
  <w:style w:type="paragraph" w:styleId="Stopka">
    <w:name w:val="footer"/>
    <w:basedOn w:val="Normalny"/>
    <w:link w:val="StopkaZnak"/>
    <w:uiPriority w:val="99"/>
    <w:unhideWhenUsed/>
    <w:rsid w:val="009D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C7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765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7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04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4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0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2F46-AA33-44E8-A207-F5D9960A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UE</cp:lastModifiedBy>
  <cp:revision>111</cp:revision>
  <dcterms:created xsi:type="dcterms:W3CDTF">2022-03-04T14:24:00Z</dcterms:created>
  <dcterms:modified xsi:type="dcterms:W3CDTF">2022-06-29T06:48:00Z</dcterms:modified>
</cp:coreProperties>
</file>