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FD3" w:rsidRDefault="00D14FD3" w:rsidP="00D14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1649">
        <w:rPr>
          <w:rFonts w:ascii="Times New Roman" w:hAnsi="Times New Roman"/>
          <w:sz w:val="20"/>
          <w:szCs w:val="20"/>
        </w:rPr>
        <w:t xml:space="preserve">Tab. </w:t>
      </w:r>
      <w:r w:rsidR="00EC19CA">
        <w:rPr>
          <w:rFonts w:ascii="Times New Roman" w:hAnsi="Times New Roman"/>
          <w:sz w:val="20"/>
          <w:szCs w:val="20"/>
        </w:rPr>
        <w:t>1</w:t>
      </w:r>
      <w:r w:rsidRPr="007D1649">
        <w:rPr>
          <w:rFonts w:ascii="Times New Roman" w:hAnsi="Times New Roman"/>
          <w:sz w:val="20"/>
          <w:szCs w:val="20"/>
        </w:rPr>
        <w:t xml:space="preserve">. Formuły obliczeniowe służące do szacowania skali </w:t>
      </w:r>
      <w:r w:rsidRPr="00725DA2">
        <w:rPr>
          <w:rFonts w:ascii="Times New Roman" w:hAnsi="Times New Roman"/>
          <w:i/>
          <w:sz w:val="20"/>
          <w:szCs w:val="20"/>
        </w:rPr>
        <w:t>REM</w:t>
      </w:r>
      <w:r w:rsidRPr="007D1649">
        <w:rPr>
          <w:rFonts w:ascii="Times New Roman" w:hAnsi="Times New Roman"/>
          <w:sz w:val="20"/>
          <w:szCs w:val="20"/>
        </w:rPr>
        <w:t xml:space="preserve"> według metodologii </w:t>
      </w:r>
      <w:proofErr w:type="spellStart"/>
      <w:r w:rsidRPr="007D1649">
        <w:rPr>
          <w:rFonts w:ascii="Times New Roman" w:hAnsi="Times New Roman"/>
          <w:sz w:val="20"/>
          <w:szCs w:val="20"/>
        </w:rPr>
        <w:t>Roychowdhury</w:t>
      </w:r>
      <w:proofErr w:type="spellEnd"/>
      <w:r w:rsidRPr="007D1649">
        <w:rPr>
          <w:rFonts w:ascii="Times New Roman" w:hAnsi="Times New Roman"/>
          <w:sz w:val="20"/>
          <w:szCs w:val="20"/>
        </w:rPr>
        <w:t>.</w:t>
      </w:r>
    </w:p>
    <w:p w:rsidR="00D14FD3" w:rsidRPr="007D1649" w:rsidRDefault="00D14FD3" w:rsidP="00D14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2365"/>
        <w:gridCol w:w="6126"/>
        <w:gridCol w:w="12"/>
      </w:tblGrid>
      <w:tr w:rsidR="00D14FD3" w:rsidTr="00CC3A9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7F7F7F" w:themeColor="text1" w:themeTint="80"/>
              <w:right w:val="single" w:sz="4" w:space="0" w:color="auto"/>
            </w:tcBorders>
          </w:tcPr>
          <w:p w:rsidR="00D14FD3" w:rsidRPr="00EC19CA" w:rsidRDefault="00D14FD3" w:rsidP="004772FD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9CA">
              <w:rPr>
                <w:rFonts w:ascii="Times New Roman" w:hAnsi="Times New Roman"/>
                <w:sz w:val="20"/>
                <w:szCs w:val="20"/>
              </w:rPr>
              <w:t>Miara</w:t>
            </w:r>
          </w:p>
        </w:tc>
        <w:tc>
          <w:tcPr>
            <w:tcW w:w="7354" w:type="dxa"/>
            <w:tcBorders>
              <w:top w:val="single" w:sz="4" w:space="0" w:color="7F7F7F" w:themeColor="text1" w:themeTint="80"/>
              <w:left w:val="single" w:sz="4" w:space="0" w:color="auto"/>
            </w:tcBorders>
          </w:tcPr>
          <w:p w:rsidR="00D14FD3" w:rsidRPr="00EC19CA" w:rsidRDefault="00D14FD3" w:rsidP="004772F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C19CA">
              <w:rPr>
                <w:rFonts w:ascii="Times New Roman" w:hAnsi="Times New Roman"/>
                <w:sz w:val="20"/>
                <w:szCs w:val="20"/>
              </w:rPr>
              <w:t>Formuła obliczeniowa</w:t>
            </w:r>
          </w:p>
        </w:tc>
      </w:tr>
      <w:tr w:rsidR="00D14FD3" w:rsidTr="00CC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  <w:vAlign w:val="center"/>
          </w:tcPr>
          <w:p w:rsidR="00D14FD3" w:rsidRPr="00EC19CA" w:rsidRDefault="00D14FD3" w:rsidP="00EC19CA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C19C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Współczynnik dyskrecjonalnych operacyjnych przepływów pieniężnych - </w:t>
            </w:r>
            <w:proofErr w:type="spellStart"/>
            <w:r w:rsidRPr="00EC19CA">
              <w:rPr>
                <w:rFonts w:ascii="Times New Roman" w:eastAsia="TimesNewRomanPSMT" w:hAnsi="Times New Roman" w:cs="Times New Roman"/>
                <w:b w:val="0"/>
                <w:i/>
                <w:sz w:val="20"/>
                <w:szCs w:val="20"/>
              </w:rPr>
              <w:t>OCF</w:t>
            </w:r>
            <w:r w:rsidRPr="00EC19CA">
              <w:rPr>
                <w:rFonts w:ascii="Times New Roman" w:eastAsia="TimesNewRomanPSMT" w:hAnsi="Times New Roman" w:cs="Times New Roman"/>
                <w:b w:val="0"/>
                <w:i/>
                <w:sz w:val="20"/>
                <w:szCs w:val="20"/>
                <w:vertAlign w:val="subscript"/>
              </w:rPr>
              <w:t>disc</w:t>
            </w:r>
            <w:proofErr w:type="spellEnd"/>
          </w:p>
        </w:tc>
        <w:tc>
          <w:tcPr>
            <w:tcW w:w="7354" w:type="dxa"/>
            <w:tcBorders>
              <w:left w:val="single" w:sz="4" w:space="0" w:color="auto"/>
            </w:tcBorders>
          </w:tcPr>
          <w:p w:rsidR="00D14FD3" w:rsidRPr="00E41FFF" w:rsidRDefault="00077699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OCF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TA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t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  <w:lang w:val="en-US"/>
                      </w:rPr>
                      <m:t>OCF</m:t>
                    </m:r>
                  </m:sup>
                </m:sSubSup>
              </m:oMath>
            </m:oMathPara>
          </w:p>
          <w:p w:rsidR="00D14FD3" w:rsidRPr="00C23E6D" w:rsidRDefault="00D14FD3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i/>
                <w:sz w:val="20"/>
                <w:szCs w:val="20"/>
                <w:lang w:val="en-US"/>
              </w:rPr>
            </w:pPr>
            <w:proofErr w:type="spellStart"/>
            <w:r w:rsidRPr="00C23E6D">
              <w:rPr>
                <w:rFonts w:ascii="Times New Roman" w:eastAsiaTheme="minorEastAsia" w:hAnsi="Times New Roman"/>
                <w:i/>
                <w:sz w:val="20"/>
                <w:szCs w:val="20"/>
                <w:lang w:val="en-US"/>
              </w:rPr>
              <w:t>gdzie</w:t>
            </w:r>
            <w:proofErr w:type="spellEnd"/>
            <w:r w:rsidRPr="00C23E6D">
              <w:rPr>
                <w:rFonts w:ascii="Times New Roman" w:eastAsiaTheme="minorEastAsia" w:hAnsi="Times New Roman"/>
                <w:i/>
                <w:sz w:val="20"/>
                <w:szCs w:val="20"/>
                <w:lang w:val="en-US"/>
              </w:rPr>
              <w:t>:</w:t>
            </w:r>
          </w:p>
          <w:p w:rsidR="00D14FD3" w:rsidRPr="00E41FFF" w:rsidRDefault="00077699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acc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OCF</m:t>
                        </m:r>
                      </m:sup>
                    </m:sSubSup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OCF</m:t>
                    </m:r>
                  </m:e>
                  <m:sub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disc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</w:tr>
      <w:tr w:rsidR="00D14FD3" w:rsidTr="00CC3A9B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  <w:vAlign w:val="center"/>
          </w:tcPr>
          <w:p w:rsidR="00D14FD3" w:rsidRPr="00EC19CA" w:rsidRDefault="00D14FD3" w:rsidP="00EC19CA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C19C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Współczynnik dyskrecjonalnych kosztów produkcji - </w:t>
            </w:r>
            <w:proofErr w:type="spellStart"/>
            <w:r w:rsidRPr="00EC19CA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PROD</w:t>
            </w:r>
            <w:r w:rsidRPr="00EC19CA">
              <w:rPr>
                <w:rFonts w:ascii="Times New Roman" w:hAnsi="Times New Roman" w:cs="Times New Roman"/>
                <w:b w:val="0"/>
                <w:i/>
                <w:sz w:val="20"/>
                <w:szCs w:val="20"/>
                <w:vertAlign w:val="subscript"/>
              </w:rPr>
              <w:t>dis</w:t>
            </w:r>
            <w:r w:rsidRPr="00EC19CA">
              <w:rPr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c</w:t>
            </w:r>
            <w:proofErr w:type="spellEnd"/>
          </w:p>
        </w:tc>
        <w:tc>
          <w:tcPr>
            <w:tcW w:w="7354" w:type="dxa"/>
            <w:tcBorders>
              <w:left w:val="single" w:sz="4" w:space="0" w:color="auto"/>
            </w:tcBorders>
          </w:tcPr>
          <w:p w:rsidR="00D14FD3" w:rsidRPr="00E41FFF" w:rsidRDefault="00077699" w:rsidP="004772F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PROD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α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+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4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∆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w:rPr>
                    <w:rFonts w:ascii="Cambria Math" w:eastAsia="Cambria Math" w:hAnsi="Cambria Math" w:cs="Cambria Math"/>
                    <w:sz w:val="20"/>
                    <w:szCs w:val="20"/>
                  </w:rPr>
                  <m:t xml:space="preserve">+ </m:t>
                </m:r>
                <m:sSubSup>
                  <m:sSubSupPr>
                    <m:ctrlPr>
                      <w:rPr>
                        <w:rFonts w:ascii="Cambria Math" w:eastAsia="Cambria Math" w:hAnsi="Cambria Math" w:cs="Cambria Math"/>
                        <w:i/>
                        <w:sz w:val="20"/>
                        <w:szCs w:val="20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ε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t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z w:val="20"/>
                        <w:szCs w:val="20"/>
                        <w:lang w:val="en-US"/>
                      </w:rPr>
                      <m:t>PROD</m:t>
                    </m:r>
                  </m:sup>
                </m:sSubSup>
              </m:oMath>
            </m:oMathPara>
          </w:p>
          <w:p w:rsidR="00D14FD3" w:rsidRPr="00C23E6D" w:rsidRDefault="00D14FD3" w:rsidP="00C23E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3E6D">
              <w:rPr>
                <w:rFonts w:ascii="Times New Roman" w:hAnsi="Times New Roman"/>
                <w:i/>
                <w:sz w:val="20"/>
                <w:szCs w:val="20"/>
              </w:rPr>
              <w:t>gdzie:</w:t>
            </w:r>
          </w:p>
          <w:p w:rsidR="00D14FD3" w:rsidRPr="00E41FFF" w:rsidRDefault="00077699" w:rsidP="004772FD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PROD</m:t>
                        </m:r>
                      </m:sup>
                    </m:sSubSup>
                  </m:e>
                </m:acc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PROD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disc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</w:tr>
      <w:tr w:rsidR="00D14FD3" w:rsidTr="00CC3A9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right w:val="single" w:sz="4" w:space="0" w:color="auto"/>
            </w:tcBorders>
            <w:vAlign w:val="center"/>
          </w:tcPr>
          <w:p w:rsidR="00D14FD3" w:rsidRPr="00EC19CA" w:rsidRDefault="00D14FD3" w:rsidP="00EC19CA">
            <w:pPr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C19C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Współczynnik </w:t>
            </w:r>
            <w:r w:rsidRPr="00EC19CA">
              <w:rPr>
                <w:rFonts w:ascii="Times New Roman" w:hAnsi="Times New Roman"/>
                <w:b w:val="0"/>
                <w:sz w:val="20"/>
                <w:szCs w:val="20"/>
              </w:rPr>
              <w:t xml:space="preserve">dyskrecjonalnych kosztów uznaniowych - </w:t>
            </w:r>
            <w:proofErr w:type="spellStart"/>
            <w:r w:rsidRPr="00EC19CA">
              <w:rPr>
                <w:rFonts w:ascii="Times New Roman" w:hAnsi="Times New Roman"/>
                <w:b w:val="0"/>
                <w:i/>
                <w:sz w:val="20"/>
                <w:szCs w:val="20"/>
              </w:rPr>
              <w:t>DISX</w:t>
            </w:r>
            <w:r w:rsidRPr="00EC19CA">
              <w:rPr>
                <w:rFonts w:ascii="Times New Roman" w:hAnsi="Times New Roman"/>
                <w:b w:val="0"/>
                <w:i/>
                <w:sz w:val="20"/>
                <w:szCs w:val="20"/>
                <w:vertAlign w:val="subscript"/>
              </w:rPr>
              <w:t>disc</w:t>
            </w:r>
            <w:proofErr w:type="spellEnd"/>
          </w:p>
        </w:tc>
        <w:tc>
          <w:tcPr>
            <w:tcW w:w="7354" w:type="dxa"/>
            <w:tcBorders>
              <w:left w:val="single" w:sz="4" w:space="0" w:color="auto"/>
            </w:tcBorders>
            <w:vAlign w:val="center"/>
          </w:tcPr>
          <w:p w:rsidR="00D14FD3" w:rsidRPr="00E41FFF" w:rsidRDefault="00077699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DISX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α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REV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en-US"/>
                              </w:rPr>
                              <m:t>t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-1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 xml:space="preserve">+ </m:t>
                </m:r>
                <m:sSubSup>
                  <m:sSubSupPr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t</m:t>
                    </m:r>
                  </m:sub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DISX</m:t>
                    </m:r>
                  </m:sup>
                </m:sSubSup>
              </m:oMath>
            </m:oMathPara>
          </w:p>
          <w:p w:rsidR="00D14FD3" w:rsidRPr="00C23E6D" w:rsidRDefault="00D14FD3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sz w:val="20"/>
                <w:szCs w:val="20"/>
              </w:rPr>
            </w:pPr>
            <w:r w:rsidRPr="00C23E6D">
              <w:rPr>
                <w:rFonts w:ascii="Times New Roman" w:hAnsi="Times New Roman"/>
                <w:i/>
                <w:sz w:val="20"/>
                <w:szCs w:val="20"/>
              </w:rPr>
              <w:t>gdzie:</w:t>
            </w:r>
          </w:p>
          <w:p w:rsidR="00D14FD3" w:rsidRPr="00EC19CA" w:rsidRDefault="00077699" w:rsidP="00EC19C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t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0"/>
                            <w:szCs w:val="20"/>
                          </w:rPr>
                          <m:t>DISX</m:t>
                        </m:r>
                      </m:sup>
                    </m:sSubSup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DISX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disc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,</m:t>
                    </m:r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</w:tr>
      <w:tr w:rsidR="00D14FD3" w:rsidTr="00CC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Borders>
              <w:bottom w:val="single" w:sz="4" w:space="0" w:color="7F7F7F" w:themeColor="text1" w:themeTint="80"/>
            </w:tcBorders>
          </w:tcPr>
          <w:p w:rsidR="00D14FD3" w:rsidRPr="00EC19CA" w:rsidRDefault="00D14FD3" w:rsidP="004772FD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19CA">
              <w:rPr>
                <w:rFonts w:ascii="Times New Roman" w:hAnsi="Times New Roman"/>
                <w:sz w:val="20"/>
                <w:szCs w:val="20"/>
              </w:rPr>
              <w:t>gdzie:</w:t>
            </w:r>
          </w:p>
          <w:tbl>
            <w:tblPr>
              <w:tblStyle w:val="Tabela-Siatka"/>
              <w:tblW w:w="9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7"/>
              <w:gridCol w:w="316"/>
              <w:gridCol w:w="7458"/>
            </w:tblGrid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OCF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wartość operacyjnych przepływów pieniężnych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bscript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OCF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disc,t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współczynnik dyskrecjonalnych operacyjnych przepływów pieniężnych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PROD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wartość kosztów produkcji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PROD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disc,t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współczynnik dyskrecjonaln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ych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kosztów produkcji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DISX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wartość kosztów uznaniowych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DISX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disc,t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współczynnik dyskrecjonalnych kosztów uznaniowych w roku 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TA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wartość aktywów całkowitych na koniec roku </w:t>
                  </w:r>
                  <w:r w:rsidRPr="008E0D2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REV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t</w:t>
                  </w:r>
                  <w:proofErr w:type="spellEnd"/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wartość przychodów ze sprzedaży w roku </w:t>
                  </w:r>
                  <w:r w:rsidRPr="008E0D2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t</w:t>
                  </w: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α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vertAlign w:val="subscript"/>
                    </w:rPr>
                    <w:t>1</w:t>
                  </w:r>
                  <w:r w:rsidRPr="008E0D27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, i=0,1,…, k</w:t>
                  </w:r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parametry modelu regresji;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077699" w:rsidP="004772FD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OCF</m:t>
                              </m:r>
                            </m:sup>
                          </m:sSubSup>
                        </m:e>
                      </m:acc>
                    </m:oMath>
                  </m:oMathPara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reszta z modelu regresji, równa dyskrecjonalnym operacyjnym przepływom pieniężnym;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E0D27" w:rsidRDefault="00077699" w:rsidP="004772FD">
                  <w:p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PROD</m:t>
                              </m:r>
                            </m:sup>
                          </m:sSubSup>
                        </m:e>
                      </m:acc>
                    </m:oMath>
                  </m:oMathPara>
                </w:p>
              </w:tc>
              <w:tc>
                <w:tcPr>
                  <w:tcW w:w="316" w:type="dxa"/>
                </w:tcPr>
                <w:p w:rsidR="00D14FD3" w:rsidRPr="008E0D27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8E0D27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E0D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reszta z modelu regresji, równa dyskrecjonalnym kosztom produkcji;</w:t>
                  </w:r>
                </w:p>
              </w:tc>
            </w:tr>
            <w:tr w:rsidR="00D14FD3" w:rsidRPr="008E0D27" w:rsidTr="004772FD">
              <w:trPr>
                <w:trHeight w:val="170"/>
              </w:trPr>
              <w:tc>
                <w:tcPr>
                  <w:tcW w:w="1427" w:type="dxa"/>
                </w:tcPr>
                <w:p w:rsidR="00D14FD3" w:rsidRPr="00864FD2" w:rsidRDefault="00077699" w:rsidP="004772FD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acc>
                        <m:acc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t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DISX</m:t>
                              </m:r>
                            </m:sup>
                          </m:sSubSup>
                        </m:e>
                      </m:acc>
                    </m:oMath>
                  </m:oMathPara>
                </w:p>
              </w:tc>
              <w:tc>
                <w:tcPr>
                  <w:tcW w:w="316" w:type="dxa"/>
                </w:tcPr>
                <w:p w:rsidR="00D14FD3" w:rsidRPr="004053DC" w:rsidRDefault="00D14FD3" w:rsidP="004772F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53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</w:p>
              </w:tc>
              <w:tc>
                <w:tcPr>
                  <w:tcW w:w="7458" w:type="dxa"/>
                </w:tcPr>
                <w:p w:rsidR="00D14FD3" w:rsidRPr="004053DC" w:rsidRDefault="00D14FD3" w:rsidP="004772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053DC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reszta z modelu regresji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równa dyskrecjonalnym kosztom uznaniowym;</w:t>
                  </w:r>
                </w:p>
              </w:tc>
            </w:tr>
          </w:tbl>
          <w:p w:rsidR="00D14FD3" w:rsidRDefault="00D14FD3" w:rsidP="004772F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4FD3" w:rsidRDefault="00D14FD3" w:rsidP="00EC19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4B5">
        <w:rPr>
          <w:rFonts w:ascii="Times New Roman" w:hAnsi="Times New Roman"/>
          <w:sz w:val="20"/>
          <w:szCs w:val="20"/>
        </w:rPr>
        <w:t xml:space="preserve">Źródło: opracowanie własne na podst.: </w:t>
      </w:r>
      <w:proofErr w:type="spellStart"/>
      <w:r w:rsidRPr="009D44B5">
        <w:rPr>
          <w:rFonts w:ascii="Times New Roman" w:hAnsi="Times New Roman"/>
          <w:sz w:val="20"/>
          <w:szCs w:val="20"/>
        </w:rPr>
        <w:t>Roychowdury</w:t>
      </w:r>
      <w:proofErr w:type="spellEnd"/>
      <w:r w:rsidRPr="009D44B5">
        <w:rPr>
          <w:rFonts w:ascii="Times New Roman" w:hAnsi="Times New Roman"/>
          <w:sz w:val="20"/>
          <w:szCs w:val="20"/>
        </w:rPr>
        <w:t xml:space="preserve"> (2006)</w:t>
      </w:r>
      <w:r w:rsidR="00EC19CA">
        <w:rPr>
          <w:rFonts w:ascii="Times New Roman" w:hAnsi="Times New Roman"/>
          <w:sz w:val="20"/>
          <w:szCs w:val="20"/>
        </w:rPr>
        <w:t>.</w:t>
      </w:r>
    </w:p>
    <w:p w:rsidR="00203672" w:rsidRPr="00527BDD" w:rsidRDefault="00203672" w:rsidP="00C23E6D">
      <w:pPr>
        <w:spacing w:after="0" w:line="36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</w:p>
    <w:p w:rsidR="00C77AAE" w:rsidRDefault="00C77AAE" w:rsidP="00923A7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318C8" w:rsidRDefault="00C77AAE" w:rsidP="00CC3A9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1649">
        <w:rPr>
          <w:rFonts w:ascii="Times New Roman" w:hAnsi="Times New Roman"/>
          <w:sz w:val="20"/>
          <w:szCs w:val="20"/>
        </w:rPr>
        <w:t xml:space="preserve">Tab. </w:t>
      </w:r>
      <w:r>
        <w:rPr>
          <w:rFonts w:ascii="Times New Roman" w:hAnsi="Times New Roman"/>
          <w:sz w:val="20"/>
          <w:szCs w:val="20"/>
        </w:rPr>
        <w:t>2</w:t>
      </w:r>
      <w:r w:rsidRPr="007D1649">
        <w:rPr>
          <w:rFonts w:ascii="Times New Roman" w:hAnsi="Times New Roman"/>
          <w:sz w:val="20"/>
          <w:szCs w:val="20"/>
        </w:rPr>
        <w:t xml:space="preserve">. </w:t>
      </w:r>
      <w:r w:rsidR="00CC3A9B">
        <w:rPr>
          <w:rFonts w:ascii="Times New Roman" w:hAnsi="Times New Roman"/>
          <w:sz w:val="20"/>
          <w:szCs w:val="20"/>
        </w:rPr>
        <w:t>Schematy</w:t>
      </w:r>
      <w:r>
        <w:rPr>
          <w:rFonts w:ascii="Times New Roman" w:hAnsi="Times New Roman"/>
          <w:sz w:val="20"/>
          <w:szCs w:val="20"/>
        </w:rPr>
        <w:t xml:space="preserve"> przepływów pieniężnych charakter</w:t>
      </w:r>
      <w:r w:rsidR="00CC3A9B">
        <w:rPr>
          <w:rFonts w:ascii="Times New Roman" w:hAnsi="Times New Roman"/>
          <w:sz w:val="20"/>
          <w:szCs w:val="20"/>
        </w:rPr>
        <w:t>ystyczne dla konkretnych fazy cyklu życia organizacji według Dickinson</w:t>
      </w:r>
      <w:r w:rsidRPr="007D1649">
        <w:rPr>
          <w:rFonts w:ascii="Times New Roman" w:hAnsi="Times New Roman"/>
          <w:sz w:val="20"/>
          <w:szCs w:val="20"/>
        </w:rPr>
        <w:t>.</w:t>
      </w:r>
    </w:p>
    <w:p w:rsidR="00CC3A9B" w:rsidRPr="00CC3A9B" w:rsidRDefault="00CC3A9B" w:rsidP="00CC3A9B">
      <w:pPr>
        <w:spacing w:after="0" w:line="240" w:lineRule="auto"/>
        <w:jc w:val="center"/>
        <w:rPr>
          <w:rStyle w:val="q4iawc"/>
          <w:rFonts w:ascii="Times New Roman" w:hAnsi="Times New Roman"/>
          <w:sz w:val="20"/>
          <w:szCs w:val="20"/>
        </w:rPr>
      </w:pPr>
    </w:p>
    <w:tbl>
      <w:tblPr>
        <w:tblStyle w:val="Zwykatabela2"/>
        <w:tblW w:w="8080" w:type="dxa"/>
        <w:tblBorders>
          <w:insideH w:val="single" w:sz="4" w:space="0" w:color="7F7F7F" w:themeColor="text1" w:themeTint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4"/>
        <w:gridCol w:w="1028"/>
        <w:gridCol w:w="955"/>
        <w:gridCol w:w="1127"/>
        <w:gridCol w:w="711"/>
        <w:gridCol w:w="680"/>
        <w:gridCol w:w="682"/>
        <w:gridCol w:w="686"/>
        <w:gridCol w:w="617"/>
      </w:tblGrid>
      <w:tr w:rsidR="00CC3A9B" w:rsidRPr="00CC3A9B" w:rsidTr="000D6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Kategoria przepływów pienię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nych</w:t>
            </w:r>
            <w:r w:rsidR="00C77AAE" w:rsidRPr="00CC3A9B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Faza OLC</w:t>
            </w:r>
          </w:p>
        </w:tc>
        <w:tc>
          <w:tcPr>
            <w:tcW w:w="1028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Wprowa</w:t>
            </w:r>
            <w:r w:rsidR="000D674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dzenie</w:t>
            </w:r>
            <w:proofErr w:type="spellEnd"/>
          </w:p>
        </w:tc>
        <w:tc>
          <w:tcPr>
            <w:tcW w:w="955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Wzrost</w:t>
            </w:r>
          </w:p>
        </w:tc>
        <w:tc>
          <w:tcPr>
            <w:tcW w:w="1127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Dojrzałość</w:t>
            </w:r>
          </w:p>
        </w:tc>
        <w:tc>
          <w:tcPr>
            <w:tcW w:w="2073" w:type="dxa"/>
            <w:gridSpan w:val="3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Wstrząs</w:t>
            </w:r>
          </w:p>
        </w:tc>
        <w:tc>
          <w:tcPr>
            <w:tcW w:w="1303" w:type="dxa"/>
            <w:gridSpan w:val="2"/>
            <w:vAlign w:val="center"/>
          </w:tcPr>
          <w:p w:rsidR="000D6749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0D6749">
              <w:rPr>
                <w:rFonts w:ascii="Times New Roman" w:hAnsi="Times New Roman" w:cs="Times New Roman"/>
                <w:sz w:val="20"/>
                <w:szCs w:val="20"/>
              </w:rPr>
              <w:t xml:space="preserve">padek </w:t>
            </w:r>
          </w:p>
          <w:p w:rsidR="00C77AAE" w:rsidRPr="00CC3A9B" w:rsidRDefault="000D6749" w:rsidP="00CC3A9B">
            <w:pPr>
              <w:autoSpaceDE w:val="0"/>
              <w:autoSpaceDN w:val="0"/>
              <w:adjustRightInd w:val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(schyłek)</w:t>
            </w:r>
          </w:p>
        </w:tc>
      </w:tr>
      <w:tr w:rsidR="000D6749" w:rsidRPr="00CC3A9B" w:rsidTr="000D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Przepływy operacyjne</w:t>
            </w:r>
          </w:p>
        </w:tc>
        <w:tc>
          <w:tcPr>
            <w:tcW w:w="1028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2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11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6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1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D6749" w:rsidRPr="00CC3A9B" w:rsidTr="000D6749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Przepływy inwestycyjne</w:t>
            </w:r>
          </w:p>
        </w:tc>
        <w:tc>
          <w:tcPr>
            <w:tcW w:w="1028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5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6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D6749" w:rsidRPr="00CC3A9B" w:rsidTr="000D6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Align w:val="center"/>
          </w:tcPr>
          <w:p w:rsidR="00C77AAE" w:rsidRPr="00CC3A9B" w:rsidRDefault="00CC3A9B" w:rsidP="00CC3A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Przepływy finansowe</w:t>
            </w:r>
          </w:p>
        </w:tc>
        <w:tc>
          <w:tcPr>
            <w:tcW w:w="1028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955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12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1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0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82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6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17" w:type="dxa"/>
            <w:vAlign w:val="center"/>
          </w:tcPr>
          <w:p w:rsidR="00C77AAE" w:rsidRPr="00CC3A9B" w:rsidRDefault="00C77AAE" w:rsidP="00CC3A9B">
            <w:pPr>
              <w:autoSpaceDE w:val="0"/>
              <w:autoSpaceDN w:val="0"/>
              <w:adjustRightInd w:val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3A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803F0" w:rsidRDefault="00CC3A9B" w:rsidP="001C5D4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D44B5">
        <w:rPr>
          <w:rFonts w:ascii="Times New Roman" w:hAnsi="Times New Roman"/>
          <w:sz w:val="20"/>
          <w:szCs w:val="20"/>
        </w:rPr>
        <w:t xml:space="preserve">Źródło: opracowanie własne na podst.: </w:t>
      </w:r>
      <w:r>
        <w:rPr>
          <w:rFonts w:ascii="Times New Roman" w:hAnsi="Times New Roman"/>
          <w:sz w:val="20"/>
          <w:szCs w:val="20"/>
        </w:rPr>
        <w:t>Dickinson</w:t>
      </w:r>
      <w:r w:rsidRPr="009D44B5">
        <w:rPr>
          <w:rFonts w:ascii="Times New Roman" w:hAnsi="Times New Roman"/>
          <w:sz w:val="20"/>
          <w:szCs w:val="20"/>
        </w:rPr>
        <w:t xml:space="preserve"> (20</w:t>
      </w:r>
      <w:r>
        <w:rPr>
          <w:rFonts w:ascii="Times New Roman" w:hAnsi="Times New Roman"/>
          <w:sz w:val="20"/>
          <w:szCs w:val="20"/>
        </w:rPr>
        <w:t>11</w:t>
      </w:r>
      <w:r w:rsidRPr="009D44B5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1C5D49" w:rsidRDefault="001C5D49" w:rsidP="001C5D49">
      <w:pPr>
        <w:spacing w:after="0" w:line="240" w:lineRule="auto"/>
        <w:jc w:val="both"/>
        <w:rPr>
          <w:rStyle w:val="q4iawc"/>
          <w:rFonts w:ascii="Times New Roman" w:hAnsi="Times New Roman" w:cs="Times New Roman"/>
          <w:sz w:val="24"/>
          <w:szCs w:val="24"/>
        </w:rPr>
      </w:pPr>
    </w:p>
    <w:p w:rsidR="0075292C" w:rsidRDefault="0075292C" w:rsidP="007529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ADBAD85" wp14:editId="7E82CEF5">
            <wp:extent cx="4960620" cy="3223260"/>
            <wp:effectExtent l="0" t="0" r="11430" b="15240"/>
            <wp:docPr id="5" name="Wykres 5">
              <a:extLst xmlns:a="http://schemas.openxmlformats.org/drawingml/2006/main">
                <a:ext uri="{FF2B5EF4-FFF2-40B4-BE49-F238E27FC236}">
                  <a16:creationId xmlns:a16="http://schemas.microsoft.com/office/drawing/2014/main" id="{3DF4292B-2911-428D-A54F-E78D4A372C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5292C" w:rsidRPr="0075292C" w:rsidRDefault="0075292C" w:rsidP="00752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92C">
        <w:rPr>
          <w:rFonts w:ascii="Times New Roman" w:hAnsi="Times New Roman" w:cs="Times New Roman"/>
          <w:sz w:val="20"/>
          <w:szCs w:val="20"/>
        </w:rPr>
        <w:t>Rys. 1.</w:t>
      </w:r>
      <w:r w:rsidRPr="0075292C">
        <w:rPr>
          <w:rFonts w:ascii="Times New Roman" w:eastAsiaTheme="minorEastAsia" w:hAnsi="Times New Roman" w:cs="Times New Roman"/>
          <w:color w:val="595959"/>
          <w:kern w:val="24"/>
          <w:sz w:val="20"/>
          <w:szCs w:val="20"/>
          <w:lang w:eastAsia="pl-PL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Pr="0075292C">
        <w:rPr>
          <w:rFonts w:ascii="Times New Roman" w:hAnsi="Times New Roman" w:cs="Times New Roman"/>
          <w:sz w:val="20"/>
          <w:szCs w:val="20"/>
        </w:rPr>
        <w:t>Udział publicznych przedsiębiorstw przemysłowych w poszczególnych fazach OLC.</w:t>
      </w:r>
    </w:p>
    <w:p w:rsidR="0075292C" w:rsidRPr="0075292C" w:rsidRDefault="0075292C" w:rsidP="00752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A33DF" w:rsidRPr="00070C12" w:rsidRDefault="00CA33DF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113B2" w:rsidRDefault="00F125C1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13B2">
        <w:rPr>
          <w:noProof/>
        </w:rPr>
        <w:drawing>
          <wp:inline distT="0" distB="0" distL="0" distR="0" wp14:anchorId="3CD66B61" wp14:editId="08E236B1">
            <wp:extent cx="5273040" cy="3139440"/>
            <wp:effectExtent l="0" t="0" r="3810" b="381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AE5E75AE-9B9F-471C-95D4-AE08F05513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2E3E" w:rsidRPr="0075292C" w:rsidRDefault="00E12E3E" w:rsidP="00E12E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92C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75292C">
        <w:rPr>
          <w:rFonts w:ascii="Times New Roman" w:hAnsi="Times New Roman" w:cs="Times New Roman"/>
          <w:sz w:val="20"/>
          <w:szCs w:val="20"/>
        </w:rPr>
        <w:t>.</w:t>
      </w:r>
      <w:r w:rsidRPr="0075292C">
        <w:rPr>
          <w:rFonts w:ascii="Times New Roman" w:eastAsiaTheme="minorEastAsia" w:hAnsi="Times New Roman" w:cs="Times New Roman"/>
          <w:color w:val="595959"/>
          <w:kern w:val="24"/>
          <w:sz w:val="20"/>
          <w:szCs w:val="20"/>
          <w:lang w:eastAsia="pl-PL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Pr="00725DA2">
        <w:rPr>
          <w:rFonts w:ascii="Times New Roman" w:hAnsi="Times New Roman"/>
          <w:sz w:val="20"/>
          <w:szCs w:val="20"/>
        </w:rPr>
        <w:t xml:space="preserve">Średnie </w:t>
      </w:r>
      <w:r>
        <w:rPr>
          <w:rFonts w:ascii="Times New Roman" w:hAnsi="Times New Roman"/>
          <w:sz w:val="20"/>
          <w:szCs w:val="20"/>
        </w:rPr>
        <w:t>i środkowe</w:t>
      </w:r>
      <w:r w:rsidRPr="00725DA2">
        <w:rPr>
          <w:rFonts w:ascii="Times New Roman" w:hAnsi="Times New Roman"/>
          <w:sz w:val="20"/>
          <w:szCs w:val="20"/>
        </w:rPr>
        <w:t xml:space="preserve"> wartości współczynników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OCF</w:t>
      </w:r>
      <w:r w:rsidRPr="00725DA2">
        <w:rPr>
          <w:rFonts w:ascii="Times New Roman" w:hAnsi="Times New Roman" w:cs="Times New Roman"/>
          <w:i/>
          <w:sz w:val="20"/>
          <w:szCs w:val="20"/>
          <w:vertAlign w:val="subscript"/>
        </w:rPr>
        <w:t>disc</w:t>
      </w:r>
      <w:proofErr w:type="spellEnd"/>
      <w:r w:rsidRPr="00725DA2">
        <w:rPr>
          <w:rFonts w:ascii="Times New Roman" w:hAnsi="Times New Roman"/>
          <w:sz w:val="20"/>
          <w:szCs w:val="20"/>
        </w:rPr>
        <w:t xml:space="preserve"> obliczone </w:t>
      </w:r>
      <w:r>
        <w:rPr>
          <w:rFonts w:ascii="Times New Roman" w:hAnsi="Times New Roman"/>
          <w:sz w:val="20"/>
          <w:szCs w:val="20"/>
        </w:rPr>
        <w:t xml:space="preserve">dla giełdowych </w:t>
      </w:r>
      <w:r w:rsidRPr="0075292C">
        <w:rPr>
          <w:rFonts w:ascii="Times New Roman" w:hAnsi="Times New Roman" w:cs="Times New Roman"/>
          <w:sz w:val="20"/>
          <w:szCs w:val="20"/>
        </w:rPr>
        <w:t>przedsiębiorstw przemysłowych w poszczególnych fazach OLC.</w:t>
      </w:r>
    </w:p>
    <w:p w:rsidR="00E12E3E" w:rsidRPr="0075292C" w:rsidRDefault="00E12E3E" w:rsidP="00E12E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13B2" w:rsidRDefault="00E113B2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F02F4" w:rsidRDefault="00352072" w:rsidP="003C42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95643" w:rsidRDefault="00095643" w:rsidP="003C42D0">
      <w:pPr>
        <w:spacing w:after="0" w:line="360" w:lineRule="auto"/>
        <w:jc w:val="both"/>
        <w:rPr>
          <w:rStyle w:val="q4iawc"/>
          <w:rFonts w:ascii="Times New Roman" w:hAnsi="Times New Roman"/>
          <w:sz w:val="24"/>
          <w:szCs w:val="24"/>
        </w:rPr>
      </w:pPr>
    </w:p>
    <w:p w:rsidR="00095643" w:rsidRPr="003C42D0" w:rsidRDefault="00095643" w:rsidP="003C42D0">
      <w:pPr>
        <w:spacing w:after="0" w:line="360" w:lineRule="auto"/>
        <w:jc w:val="both"/>
        <w:rPr>
          <w:rStyle w:val="q4iawc"/>
          <w:rFonts w:ascii="Times New Roman" w:hAnsi="Times New Roman"/>
          <w:sz w:val="24"/>
          <w:szCs w:val="24"/>
        </w:rPr>
      </w:pPr>
    </w:p>
    <w:p w:rsidR="00462397" w:rsidRDefault="00163AA1" w:rsidP="00163A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1649">
        <w:rPr>
          <w:rFonts w:ascii="Times New Roman" w:hAnsi="Times New Roman"/>
          <w:sz w:val="20"/>
          <w:szCs w:val="20"/>
        </w:rPr>
        <w:lastRenderedPageBreak/>
        <w:t xml:space="preserve">Tab. </w:t>
      </w:r>
      <w:r>
        <w:rPr>
          <w:rFonts w:ascii="Times New Roman" w:hAnsi="Times New Roman"/>
          <w:sz w:val="20"/>
          <w:szCs w:val="20"/>
        </w:rPr>
        <w:t>3</w:t>
      </w:r>
      <w:r w:rsidRPr="007D164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Wyniki testów statystycznych opisujących kształtowanie wartości wskaźnika </w:t>
      </w:r>
      <w:proofErr w:type="spellStart"/>
      <w:r w:rsidRPr="00163AA1">
        <w:rPr>
          <w:rFonts w:ascii="Times New Roman" w:hAnsi="Times New Roman"/>
          <w:i/>
          <w:sz w:val="20"/>
          <w:szCs w:val="20"/>
        </w:rPr>
        <w:t>OCF</w:t>
      </w:r>
      <w:r w:rsidRPr="00163AA1">
        <w:rPr>
          <w:rFonts w:ascii="Times New Roman" w:hAnsi="Times New Roman"/>
          <w:i/>
          <w:sz w:val="20"/>
          <w:szCs w:val="20"/>
          <w:vertAlign w:val="subscript"/>
        </w:rPr>
        <w:t>disc</w:t>
      </w:r>
      <w:proofErr w:type="spellEnd"/>
      <w:r>
        <w:rPr>
          <w:rFonts w:ascii="Times New Roman" w:hAnsi="Times New Roman"/>
          <w:sz w:val="20"/>
          <w:szCs w:val="20"/>
        </w:rPr>
        <w:t xml:space="preserve"> w przedsiębiorstwach przemysłowych w poszczególnych fazach OLC.</w:t>
      </w:r>
    </w:p>
    <w:p w:rsidR="00163AA1" w:rsidRPr="00163AA1" w:rsidRDefault="00163AA1" w:rsidP="00163AA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Zwykatabela2"/>
        <w:tblW w:w="8647" w:type="dxa"/>
        <w:tblBorders>
          <w:insideH w:val="single" w:sz="4" w:space="0" w:color="7F7F7F" w:themeColor="text1" w:themeTint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084"/>
        <w:gridCol w:w="1217"/>
        <w:gridCol w:w="1843"/>
        <w:gridCol w:w="1389"/>
        <w:gridCol w:w="1627"/>
      </w:tblGrid>
      <w:tr w:rsidR="000D7014" w:rsidRPr="0046529F" w:rsidTr="003337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0D7014" w:rsidRPr="0046529F" w:rsidRDefault="000D7014" w:rsidP="000D701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Test dla całej populacji</w:t>
            </w: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0D701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0D701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Faza OLC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843" w:type="dxa"/>
            <w:vAlign w:val="center"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 Kruskala-</w:t>
            </w:r>
            <w:proofErr w:type="spellStart"/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Wallisa</w:t>
            </w:r>
            <w:proofErr w:type="spellEnd"/>
          </w:p>
        </w:tc>
        <w:tc>
          <w:tcPr>
            <w:tcW w:w="3016" w:type="dxa"/>
            <w:gridSpan w:val="2"/>
            <w:vAlign w:val="center"/>
          </w:tcPr>
          <w:p w:rsidR="003337A4" w:rsidRPr="000D7014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3337A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wprowadzenie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3337A4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198,37</w:t>
            </w:r>
          </w:p>
        </w:tc>
        <w:tc>
          <w:tcPr>
            <w:tcW w:w="1843" w:type="dxa"/>
            <w:vMerge w:val="restart"/>
            <w:vAlign w:val="center"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689,267</w:t>
            </w:r>
          </w:p>
        </w:tc>
        <w:tc>
          <w:tcPr>
            <w:tcW w:w="3016" w:type="dxa"/>
            <w:gridSpan w:val="2"/>
            <w:vMerge w:val="restart"/>
            <w:vAlign w:val="center"/>
          </w:tcPr>
          <w:p w:rsidR="003337A4" w:rsidRPr="003337A4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0,000</w:t>
            </w: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3337A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wzrost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3337A4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833,66</w:t>
            </w:r>
          </w:p>
        </w:tc>
        <w:tc>
          <w:tcPr>
            <w:tcW w:w="1843" w:type="dxa"/>
            <w:vMerge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3337A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dojrzałość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3337A4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1009,06</w:t>
            </w:r>
          </w:p>
        </w:tc>
        <w:tc>
          <w:tcPr>
            <w:tcW w:w="1843" w:type="dxa"/>
            <w:vMerge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3337A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wstrząs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3337A4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777,01</w:t>
            </w:r>
          </w:p>
        </w:tc>
        <w:tc>
          <w:tcPr>
            <w:tcW w:w="1843" w:type="dxa"/>
            <w:vMerge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3337A4" w:rsidRPr="003337A4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spadek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3337A4" w:rsidRPr="003337A4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259,73</w:t>
            </w:r>
          </w:p>
        </w:tc>
        <w:tc>
          <w:tcPr>
            <w:tcW w:w="1843" w:type="dxa"/>
            <w:vMerge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Porównania międzygrupowe (testy post-hoc)</w:t>
            </w:r>
          </w:p>
        </w:tc>
      </w:tr>
      <w:tr w:rsidR="003337A4" w:rsidRPr="0046529F" w:rsidTr="003337A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1 -</w:t>
            </w:r>
            <w:r w:rsidRPr="000D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2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Suma rang</w:t>
            </w:r>
          </w:p>
        </w:tc>
        <w:tc>
          <w:tcPr>
            <w:tcW w:w="1843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U </w:t>
            </w:r>
            <w:proofErr w:type="spellStart"/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Manna-Whitneya</w:t>
            </w:r>
            <w:proofErr w:type="spellEnd"/>
          </w:p>
        </w:tc>
        <w:tc>
          <w:tcPr>
            <w:tcW w:w="1389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Wilcoxona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wzrost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91,70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14580,00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1860,000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14580,000</w:t>
            </w:r>
          </w:p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281,29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72573,00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dojrzałość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95,84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15239,00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2519,000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15239,000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494,28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334627,00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104,23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16573,00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3853,000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16573,000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282,99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77822,00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spadek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146,60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23309,00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10589,000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23309,000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183,94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31637,00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dojrzałość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372,61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96134,00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62723,000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96134,000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504,35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341446,00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278,92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71961,00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32400,000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70350,000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0,084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255,82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70350,00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spadek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289,34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74650,00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3137,000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18015,000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104,74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18015,00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522,64</w:t>
            </w:r>
          </w:p>
        </w:tc>
        <w:tc>
          <w:tcPr>
            <w:tcW w:w="1217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353826,000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61852,000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99802,000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362,92</w:t>
            </w:r>
          </w:p>
        </w:tc>
        <w:tc>
          <w:tcPr>
            <w:tcW w:w="1217" w:type="dxa"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99802,000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spadek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504,79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341743,00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4204,000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19082,000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110,94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19082,00</w:t>
            </w:r>
          </w:p>
        </w:tc>
        <w:tc>
          <w:tcPr>
            <w:tcW w:w="1843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337A4" w:rsidRPr="0046529F" w:rsidTr="003337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wstrząs - spadek</w:t>
            </w:r>
          </w:p>
        </w:tc>
        <w:tc>
          <w:tcPr>
            <w:tcW w:w="1084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289,29</w:t>
            </w:r>
          </w:p>
        </w:tc>
        <w:tc>
          <w:tcPr>
            <w:tcW w:w="1217" w:type="dxa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79555,00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5695,000</w:t>
            </w:r>
          </w:p>
        </w:tc>
        <w:tc>
          <w:tcPr>
            <w:tcW w:w="1389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20573,000</w:t>
            </w:r>
          </w:p>
        </w:tc>
        <w:tc>
          <w:tcPr>
            <w:tcW w:w="1627" w:type="dxa"/>
            <w:vMerge w:val="restart"/>
            <w:noWrap/>
            <w:vAlign w:val="center"/>
            <w:hideMark/>
          </w:tcPr>
          <w:p w:rsidR="003337A4" w:rsidRPr="0046529F" w:rsidRDefault="003337A4" w:rsidP="003337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3337A4" w:rsidRPr="0046529F" w:rsidTr="003337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hideMark/>
          </w:tcPr>
          <w:p w:rsidR="003337A4" w:rsidRPr="0046529F" w:rsidRDefault="003337A4" w:rsidP="003337A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119,61</w:t>
            </w:r>
          </w:p>
        </w:tc>
        <w:tc>
          <w:tcPr>
            <w:tcW w:w="1217" w:type="dxa"/>
            <w:noWrap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20573,00</w:t>
            </w:r>
          </w:p>
        </w:tc>
        <w:tc>
          <w:tcPr>
            <w:tcW w:w="1843" w:type="dxa"/>
            <w:vMerge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hideMark/>
          </w:tcPr>
          <w:p w:rsidR="003337A4" w:rsidRPr="0046529F" w:rsidRDefault="003337A4" w:rsidP="003337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63AA1" w:rsidRPr="0075292C" w:rsidRDefault="00163AA1" w:rsidP="00163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D314D" w:rsidRDefault="000D314D" w:rsidP="00A27A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77C9" w:rsidRDefault="004B77C9" w:rsidP="004B77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B77C9" w:rsidRPr="004B77C9" w:rsidRDefault="004B77C9" w:rsidP="004B77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965332" wp14:editId="38EDB48E">
            <wp:extent cx="5341620" cy="3360420"/>
            <wp:effectExtent l="0" t="0" r="11430" b="1143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279C7EF-BE23-4B1C-9FC5-3F12E78ADE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77C9" w:rsidRPr="0075292C" w:rsidRDefault="004B77C9" w:rsidP="004B77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92C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75292C">
        <w:rPr>
          <w:rFonts w:ascii="Times New Roman" w:hAnsi="Times New Roman" w:cs="Times New Roman"/>
          <w:sz w:val="20"/>
          <w:szCs w:val="20"/>
        </w:rPr>
        <w:t>.</w:t>
      </w:r>
      <w:r w:rsidRPr="0075292C">
        <w:rPr>
          <w:rFonts w:ascii="Times New Roman" w:eastAsiaTheme="minorEastAsia" w:hAnsi="Times New Roman" w:cs="Times New Roman"/>
          <w:color w:val="595959"/>
          <w:kern w:val="24"/>
          <w:sz w:val="20"/>
          <w:szCs w:val="20"/>
          <w:lang w:eastAsia="pl-PL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Pr="00725DA2">
        <w:rPr>
          <w:rFonts w:ascii="Times New Roman" w:hAnsi="Times New Roman"/>
          <w:sz w:val="20"/>
          <w:szCs w:val="20"/>
        </w:rPr>
        <w:t xml:space="preserve">Średnie </w:t>
      </w:r>
      <w:r>
        <w:rPr>
          <w:rFonts w:ascii="Times New Roman" w:hAnsi="Times New Roman"/>
          <w:sz w:val="20"/>
          <w:szCs w:val="20"/>
        </w:rPr>
        <w:t>i środkowe</w:t>
      </w:r>
      <w:r w:rsidRPr="00725DA2">
        <w:rPr>
          <w:rFonts w:ascii="Times New Roman" w:hAnsi="Times New Roman"/>
          <w:sz w:val="20"/>
          <w:szCs w:val="20"/>
        </w:rPr>
        <w:t xml:space="preserve"> wartości współczynników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PROD</w:t>
      </w:r>
      <w:r w:rsidRPr="00725DA2">
        <w:rPr>
          <w:rFonts w:ascii="Times New Roman" w:hAnsi="Times New Roman" w:cs="Times New Roman"/>
          <w:i/>
          <w:sz w:val="20"/>
          <w:szCs w:val="20"/>
          <w:vertAlign w:val="subscript"/>
        </w:rPr>
        <w:t>disc</w:t>
      </w:r>
      <w:proofErr w:type="spellEnd"/>
      <w:r w:rsidRPr="00725DA2">
        <w:rPr>
          <w:rFonts w:ascii="Times New Roman" w:hAnsi="Times New Roman"/>
          <w:sz w:val="20"/>
          <w:szCs w:val="20"/>
        </w:rPr>
        <w:t xml:space="preserve"> obliczone </w:t>
      </w:r>
      <w:r>
        <w:rPr>
          <w:rFonts w:ascii="Times New Roman" w:hAnsi="Times New Roman"/>
          <w:sz w:val="20"/>
          <w:szCs w:val="20"/>
        </w:rPr>
        <w:t xml:space="preserve">dla giełdowych </w:t>
      </w:r>
      <w:r w:rsidRPr="0075292C">
        <w:rPr>
          <w:rFonts w:ascii="Times New Roman" w:hAnsi="Times New Roman" w:cs="Times New Roman"/>
          <w:sz w:val="20"/>
          <w:szCs w:val="20"/>
        </w:rPr>
        <w:t>przedsiębiorstw przemysłowych w poszczególnych fazach OLC.</w:t>
      </w:r>
    </w:p>
    <w:p w:rsidR="004B77C9" w:rsidRPr="0075292C" w:rsidRDefault="004B77C9" w:rsidP="004B77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D1A1A" w:rsidRDefault="00FD1A1A" w:rsidP="009F3BD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95643" w:rsidRDefault="00095643" w:rsidP="009F3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5643" w:rsidRDefault="00095643" w:rsidP="000956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40D077D6" wp14:editId="18923066">
            <wp:extent cx="5326380" cy="3314700"/>
            <wp:effectExtent l="0" t="0" r="7620" b="0"/>
            <wp:docPr id="7" name="Wykres 7">
              <a:extLst xmlns:a="http://schemas.openxmlformats.org/drawingml/2006/main">
                <a:ext uri="{FF2B5EF4-FFF2-40B4-BE49-F238E27FC236}">
                  <a16:creationId xmlns:a16="http://schemas.microsoft.com/office/drawing/2014/main" id="{AFF1D521-9CCE-4E65-B77F-12661C6979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5643" w:rsidRPr="0075292C" w:rsidRDefault="00095643" w:rsidP="000956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292C">
        <w:rPr>
          <w:rFonts w:ascii="Times New Roman" w:hAnsi="Times New Roman" w:cs="Times New Roman"/>
          <w:sz w:val="20"/>
          <w:szCs w:val="20"/>
        </w:rPr>
        <w:t xml:space="preserve">Rys.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5292C">
        <w:rPr>
          <w:rFonts w:ascii="Times New Roman" w:hAnsi="Times New Roman" w:cs="Times New Roman"/>
          <w:sz w:val="20"/>
          <w:szCs w:val="20"/>
        </w:rPr>
        <w:t>.</w:t>
      </w:r>
      <w:r w:rsidRPr="0075292C">
        <w:rPr>
          <w:rFonts w:ascii="Times New Roman" w:eastAsiaTheme="minorEastAsia" w:hAnsi="Times New Roman" w:cs="Times New Roman"/>
          <w:color w:val="595959"/>
          <w:kern w:val="24"/>
          <w:sz w:val="20"/>
          <w:szCs w:val="20"/>
          <w:lang w:eastAsia="pl-PL"/>
          <w14:textFill>
            <w14:solidFill>
              <w14:srgbClr w14:val="595959">
                <w14:lumMod w14:val="65000"/>
                <w14:lumOff w14:val="35000"/>
              </w14:srgbClr>
            </w14:solidFill>
          </w14:textFill>
        </w:rPr>
        <w:t xml:space="preserve"> </w:t>
      </w:r>
      <w:r w:rsidRPr="00725DA2">
        <w:rPr>
          <w:rFonts w:ascii="Times New Roman" w:hAnsi="Times New Roman"/>
          <w:sz w:val="20"/>
          <w:szCs w:val="20"/>
        </w:rPr>
        <w:t xml:space="preserve">Średnie </w:t>
      </w:r>
      <w:r>
        <w:rPr>
          <w:rFonts w:ascii="Times New Roman" w:hAnsi="Times New Roman"/>
          <w:sz w:val="20"/>
          <w:szCs w:val="20"/>
        </w:rPr>
        <w:t>i środkowe</w:t>
      </w:r>
      <w:r w:rsidRPr="00725DA2">
        <w:rPr>
          <w:rFonts w:ascii="Times New Roman" w:hAnsi="Times New Roman"/>
          <w:sz w:val="20"/>
          <w:szCs w:val="20"/>
        </w:rPr>
        <w:t xml:space="preserve"> wartości współczynników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DISX</w:t>
      </w:r>
      <w:r w:rsidRPr="00725DA2">
        <w:rPr>
          <w:rFonts w:ascii="Times New Roman" w:hAnsi="Times New Roman" w:cs="Times New Roman"/>
          <w:i/>
          <w:sz w:val="20"/>
          <w:szCs w:val="20"/>
          <w:vertAlign w:val="subscript"/>
        </w:rPr>
        <w:t>disc</w:t>
      </w:r>
      <w:proofErr w:type="spellEnd"/>
      <w:r w:rsidRPr="00725DA2">
        <w:rPr>
          <w:rFonts w:ascii="Times New Roman" w:hAnsi="Times New Roman"/>
          <w:sz w:val="20"/>
          <w:szCs w:val="20"/>
        </w:rPr>
        <w:t xml:space="preserve"> obliczone </w:t>
      </w:r>
      <w:r>
        <w:rPr>
          <w:rFonts w:ascii="Times New Roman" w:hAnsi="Times New Roman"/>
          <w:sz w:val="20"/>
          <w:szCs w:val="20"/>
        </w:rPr>
        <w:t xml:space="preserve">dla giełdowych </w:t>
      </w:r>
      <w:r w:rsidRPr="0075292C">
        <w:rPr>
          <w:rFonts w:ascii="Times New Roman" w:hAnsi="Times New Roman" w:cs="Times New Roman"/>
          <w:sz w:val="20"/>
          <w:szCs w:val="20"/>
        </w:rPr>
        <w:t>przedsiębiorstw przemysłowych w poszczególnych fazach OLC.</w:t>
      </w:r>
    </w:p>
    <w:p w:rsidR="00095643" w:rsidRPr="0075292C" w:rsidRDefault="00095643" w:rsidP="00095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095643" w:rsidRDefault="00095643" w:rsidP="009F3B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04EC" w:rsidRDefault="00FA04EC" w:rsidP="00FA04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A04EC" w:rsidRDefault="00FA04EC" w:rsidP="00FA04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1649">
        <w:rPr>
          <w:rFonts w:ascii="Times New Roman" w:hAnsi="Times New Roman"/>
          <w:sz w:val="20"/>
          <w:szCs w:val="20"/>
        </w:rPr>
        <w:lastRenderedPageBreak/>
        <w:t xml:space="preserve">Tab. </w:t>
      </w:r>
      <w:r>
        <w:rPr>
          <w:rFonts w:ascii="Times New Roman" w:hAnsi="Times New Roman"/>
          <w:sz w:val="20"/>
          <w:szCs w:val="20"/>
        </w:rPr>
        <w:t>4</w:t>
      </w:r>
      <w:r w:rsidRPr="007D164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Wyniki testów statystycznych opisujących kształtowanie wartości wskaźnika </w:t>
      </w:r>
      <w:proofErr w:type="spellStart"/>
      <w:r>
        <w:rPr>
          <w:rFonts w:ascii="Times New Roman" w:hAnsi="Times New Roman"/>
          <w:i/>
          <w:sz w:val="20"/>
          <w:szCs w:val="20"/>
        </w:rPr>
        <w:t>PROD</w:t>
      </w:r>
      <w:r w:rsidRPr="00163AA1">
        <w:rPr>
          <w:rFonts w:ascii="Times New Roman" w:hAnsi="Times New Roman"/>
          <w:i/>
          <w:sz w:val="20"/>
          <w:szCs w:val="20"/>
          <w:vertAlign w:val="subscript"/>
        </w:rPr>
        <w:t>disc</w:t>
      </w:r>
      <w:proofErr w:type="spellEnd"/>
      <w:r>
        <w:rPr>
          <w:rFonts w:ascii="Times New Roman" w:hAnsi="Times New Roman"/>
          <w:sz w:val="20"/>
          <w:szCs w:val="20"/>
        </w:rPr>
        <w:t xml:space="preserve"> w przedsiębiorstwach przemysłowych w poszczególnych fazach OLC.</w:t>
      </w:r>
    </w:p>
    <w:p w:rsidR="00FA04EC" w:rsidRPr="00163AA1" w:rsidRDefault="00FA04EC" w:rsidP="00FA04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Zwykatabela2"/>
        <w:tblW w:w="8647" w:type="dxa"/>
        <w:tblBorders>
          <w:insideH w:val="single" w:sz="4" w:space="0" w:color="7F7F7F" w:themeColor="text1" w:themeTint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084"/>
        <w:gridCol w:w="1217"/>
        <w:gridCol w:w="1843"/>
        <w:gridCol w:w="1389"/>
        <w:gridCol w:w="1627"/>
      </w:tblGrid>
      <w:tr w:rsidR="00FA04EC" w:rsidRPr="0046529F" w:rsidTr="00B51E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FA04EC" w:rsidRPr="0046529F" w:rsidRDefault="00FA04EC" w:rsidP="00B51E7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Test dla całej populacji</w:t>
            </w:r>
          </w:p>
        </w:tc>
      </w:tr>
      <w:tr w:rsidR="00FA04EC" w:rsidRPr="0046529F" w:rsidTr="00B51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FA04EC" w:rsidRPr="000D7014" w:rsidRDefault="00FA04EC" w:rsidP="00B51E7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0D701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Faza OLC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FA04EC" w:rsidRPr="0046529F" w:rsidRDefault="00FA04EC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843" w:type="dxa"/>
            <w:vAlign w:val="center"/>
          </w:tcPr>
          <w:p w:rsidR="00FA04EC" w:rsidRPr="0046529F" w:rsidRDefault="00FA04EC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 Kruskala-</w:t>
            </w:r>
            <w:proofErr w:type="spellStart"/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Wallisa</w:t>
            </w:r>
            <w:proofErr w:type="spellEnd"/>
          </w:p>
        </w:tc>
        <w:tc>
          <w:tcPr>
            <w:tcW w:w="3016" w:type="dxa"/>
            <w:gridSpan w:val="2"/>
            <w:vAlign w:val="center"/>
          </w:tcPr>
          <w:p w:rsidR="00FA04EC" w:rsidRPr="000D7014" w:rsidRDefault="00FA04EC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B51E74" w:rsidRPr="0046529F" w:rsidTr="00B23D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B51E74" w:rsidRPr="003337A4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wprowadzenie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B51E74" w:rsidRPr="00B23D5C" w:rsidRDefault="00B51E74" w:rsidP="00B23D5C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844,10</w:t>
            </w:r>
          </w:p>
        </w:tc>
        <w:tc>
          <w:tcPr>
            <w:tcW w:w="1843" w:type="dxa"/>
            <w:vMerge w:val="restart"/>
            <w:vAlign w:val="center"/>
          </w:tcPr>
          <w:p w:rsidR="00B51E74" w:rsidRPr="00B23D5C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18"/>
              </w:rPr>
              <w:t>151,092</w:t>
            </w:r>
          </w:p>
        </w:tc>
        <w:tc>
          <w:tcPr>
            <w:tcW w:w="3016" w:type="dxa"/>
            <w:gridSpan w:val="2"/>
            <w:vMerge w:val="restart"/>
            <w:vAlign w:val="center"/>
          </w:tcPr>
          <w:p w:rsidR="00B51E74" w:rsidRPr="003337A4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0,000</w:t>
            </w:r>
          </w:p>
        </w:tc>
      </w:tr>
      <w:tr w:rsidR="00B51E74" w:rsidRPr="0046529F" w:rsidTr="00B2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B51E74" w:rsidRPr="003337A4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wzrost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B51E74" w:rsidRPr="00B23D5C" w:rsidRDefault="00B51E74" w:rsidP="00B23D5C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655,95</w:t>
            </w:r>
          </w:p>
        </w:tc>
        <w:tc>
          <w:tcPr>
            <w:tcW w:w="1843" w:type="dxa"/>
            <w:vMerge/>
          </w:tcPr>
          <w:p w:rsidR="00B51E74" w:rsidRPr="0046529F" w:rsidRDefault="00B51E74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B51E74" w:rsidRPr="0046529F" w:rsidRDefault="00B51E74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51E74" w:rsidRPr="0046529F" w:rsidTr="00B23D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B51E74" w:rsidRPr="003337A4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dojrzałość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B51E74" w:rsidRPr="00B23D5C" w:rsidRDefault="00B51E74" w:rsidP="00B23D5C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668,27</w:t>
            </w:r>
          </w:p>
        </w:tc>
        <w:tc>
          <w:tcPr>
            <w:tcW w:w="1843" w:type="dxa"/>
            <w:vMerge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51E74" w:rsidRPr="0046529F" w:rsidTr="00B23D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B51E74" w:rsidRPr="003337A4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wstrząs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B51E74" w:rsidRPr="00B23D5C" w:rsidRDefault="00B51E74" w:rsidP="00B23D5C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923,70</w:t>
            </w:r>
          </w:p>
        </w:tc>
        <w:tc>
          <w:tcPr>
            <w:tcW w:w="1843" w:type="dxa"/>
            <w:vMerge/>
          </w:tcPr>
          <w:p w:rsidR="00B51E74" w:rsidRPr="0046529F" w:rsidRDefault="00B51E74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B51E74" w:rsidRPr="0046529F" w:rsidRDefault="00B51E74" w:rsidP="00B51E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51E74" w:rsidRPr="0046529F" w:rsidTr="00B23D5C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B51E74" w:rsidRPr="003337A4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spadek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B51E74" w:rsidRPr="00B23D5C" w:rsidRDefault="00B51E74" w:rsidP="00B23D5C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B23D5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1036,20</w:t>
            </w:r>
          </w:p>
        </w:tc>
        <w:tc>
          <w:tcPr>
            <w:tcW w:w="1843" w:type="dxa"/>
            <w:vMerge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B51E74" w:rsidRPr="0046529F" w:rsidTr="00B51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Porównania międzygrupowe (testy post-hoc)</w:t>
            </w:r>
          </w:p>
        </w:tc>
      </w:tr>
      <w:tr w:rsidR="00B51E74" w:rsidRPr="0046529F" w:rsidTr="00B51E7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1 -</w:t>
            </w:r>
            <w:r w:rsidRPr="000D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2</w:t>
            </w:r>
          </w:p>
        </w:tc>
        <w:tc>
          <w:tcPr>
            <w:tcW w:w="1084" w:type="dxa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217" w:type="dxa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Suma rang</w:t>
            </w:r>
          </w:p>
        </w:tc>
        <w:tc>
          <w:tcPr>
            <w:tcW w:w="1843" w:type="dxa"/>
            <w:vAlign w:val="center"/>
            <w:hideMark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U </w:t>
            </w:r>
            <w:proofErr w:type="spellStart"/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Manna-Whitneya</w:t>
            </w:r>
            <w:proofErr w:type="spellEnd"/>
          </w:p>
        </w:tc>
        <w:tc>
          <w:tcPr>
            <w:tcW w:w="1389" w:type="dxa"/>
            <w:vAlign w:val="center"/>
            <w:hideMark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4652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Wilcoxona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wzrost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240,19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38191,00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15551,000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48962,000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189,78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48962,00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dojrzałość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494,04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78553,00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41810,000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271313,000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400,76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271313,00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204,46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32509,00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19789,000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32509,000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225,04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61886,00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spadek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145,40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23119,00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10399,000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23119,000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185,04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31827,00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dojrzałość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463,85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119673,00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86262,000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119673,000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0,772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469,58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317907,00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218,16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56286,00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22875,000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56286,000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312,82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86025,00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spadek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172,66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44546,00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11135,000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44546,000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279,76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48119,00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430,58</w:t>
            </w:r>
          </w:p>
        </w:tc>
        <w:tc>
          <w:tcPr>
            <w:tcW w:w="1217" w:type="dxa"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291505,000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62002,000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291505,000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589,54</w:t>
            </w:r>
          </w:p>
        </w:tc>
        <w:tc>
          <w:tcPr>
            <w:tcW w:w="1217" w:type="dxa"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162123,000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spadek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384,35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260204,00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30701,000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260204,000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000</w:t>
            </w:r>
          </w:p>
        </w:tc>
      </w:tr>
      <w:tr w:rsidR="00B51E74" w:rsidRPr="0046529F" w:rsidTr="00B55343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585,01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100621,00</w:t>
            </w:r>
          </w:p>
        </w:tc>
        <w:tc>
          <w:tcPr>
            <w:tcW w:w="1843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B51E74" w:rsidRPr="00267191" w:rsidRDefault="00B51E74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51E74" w:rsidRPr="0046529F" w:rsidTr="00B553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B51E74" w:rsidRPr="0046529F" w:rsidRDefault="00B51E74" w:rsidP="00B51E7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wstrząs - spadek</w:t>
            </w:r>
          </w:p>
        </w:tc>
        <w:tc>
          <w:tcPr>
            <w:tcW w:w="1084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210,31</w:t>
            </w:r>
          </w:p>
        </w:tc>
        <w:tc>
          <w:tcPr>
            <w:tcW w:w="1217" w:type="dxa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57834,00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19884,000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57834,000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B51E74" w:rsidRPr="00267191" w:rsidRDefault="00B51E74" w:rsidP="002671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,</w:t>
            </w:r>
            <w:r w:rsidRPr="00267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005</w:t>
            </w:r>
          </w:p>
        </w:tc>
      </w:tr>
      <w:tr w:rsidR="00267191" w:rsidRPr="0046529F" w:rsidTr="00311D4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hideMark/>
          </w:tcPr>
          <w:p w:rsidR="00267191" w:rsidRPr="0046529F" w:rsidRDefault="00267191" w:rsidP="00267191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267191" w:rsidRPr="00267191" w:rsidRDefault="00267191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245,90</w:t>
            </w:r>
          </w:p>
        </w:tc>
        <w:tc>
          <w:tcPr>
            <w:tcW w:w="1217" w:type="dxa"/>
            <w:noWrap/>
            <w:vAlign w:val="center"/>
          </w:tcPr>
          <w:p w:rsidR="00267191" w:rsidRPr="00267191" w:rsidRDefault="00267191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1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42294,00</w:t>
            </w:r>
          </w:p>
        </w:tc>
        <w:tc>
          <w:tcPr>
            <w:tcW w:w="1843" w:type="dxa"/>
            <w:vMerge/>
            <w:hideMark/>
          </w:tcPr>
          <w:p w:rsidR="00267191" w:rsidRPr="0046529F" w:rsidRDefault="00267191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hideMark/>
          </w:tcPr>
          <w:p w:rsidR="00267191" w:rsidRPr="0046529F" w:rsidRDefault="00267191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hideMark/>
          </w:tcPr>
          <w:p w:rsidR="00267191" w:rsidRPr="0046529F" w:rsidRDefault="00267191" w:rsidP="002671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A04EC" w:rsidRPr="0075292C" w:rsidRDefault="00FA04EC" w:rsidP="00FA04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A04EC" w:rsidRPr="001C7F9F" w:rsidRDefault="00FA04EC" w:rsidP="00FA04E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1E74" w:rsidRDefault="00B51E74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51E74" w:rsidRPr="00B51E74" w:rsidRDefault="00B51E74" w:rsidP="00B51E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5643" w:rsidRDefault="0053752E" w:rsidP="00D476C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5643" w:rsidRDefault="00095643" w:rsidP="00D476C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5643" w:rsidRDefault="00095643" w:rsidP="00D476C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51E74" w:rsidRPr="00B51E74" w:rsidRDefault="00212340" w:rsidP="00D476C2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0F5" w:rsidRDefault="001570F5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570F5" w:rsidRDefault="001570F5" w:rsidP="001570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1649">
        <w:rPr>
          <w:rFonts w:ascii="Times New Roman" w:hAnsi="Times New Roman"/>
          <w:sz w:val="20"/>
          <w:szCs w:val="20"/>
        </w:rPr>
        <w:lastRenderedPageBreak/>
        <w:t xml:space="preserve">Tab. </w:t>
      </w:r>
      <w:r>
        <w:rPr>
          <w:rFonts w:ascii="Times New Roman" w:hAnsi="Times New Roman"/>
          <w:sz w:val="20"/>
          <w:szCs w:val="20"/>
        </w:rPr>
        <w:t>5</w:t>
      </w:r>
      <w:r w:rsidRPr="007D1649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 xml:space="preserve">Wyniki testów statystycznych opisujących kształtowanie wartości wskaźnika </w:t>
      </w:r>
      <w:proofErr w:type="spellStart"/>
      <w:r>
        <w:rPr>
          <w:rFonts w:ascii="Times New Roman" w:hAnsi="Times New Roman"/>
          <w:i/>
          <w:sz w:val="20"/>
          <w:szCs w:val="20"/>
        </w:rPr>
        <w:t>DISX</w:t>
      </w:r>
      <w:r w:rsidRPr="00163AA1">
        <w:rPr>
          <w:rFonts w:ascii="Times New Roman" w:hAnsi="Times New Roman"/>
          <w:i/>
          <w:sz w:val="20"/>
          <w:szCs w:val="20"/>
          <w:vertAlign w:val="subscript"/>
        </w:rPr>
        <w:t>disc</w:t>
      </w:r>
      <w:proofErr w:type="spellEnd"/>
      <w:r>
        <w:rPr>
          <w:rFonts w:ascii="Times New Roman" w:hAnsi="Times New Roman"/>
          <w:sz w:val="20"/>
          <w:szCs w:val="20"/>
        </w:rPr>
        <w:t xml:space="preserve"> w przedsiębiorstwach przemysłowych w poszczególnych fazach OLC.</w:t>
      </w:r>
    </w:p>
    <w:p w:rsidR="001570F5" w:rsidRDefault="001570F5" w:rsidP="00775E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Zwykatabela2"/>
        <w:tblW w:w="8647" w:type="dxa"/>
        <w:tblBorders>
          <w:insideH w:val="single" w:sz="4" w:space="0" w:color="7F7F7F" w:themeColor="text1" w:themeTint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084"/>
        <w:gridCol w:w="1217"/>
        <w:gridCol w:w="1843"/>
        <w:gridCol w:w="1389"/>
        <w:gridCol w:w="1627"/>
      </w:tblGrid>
      <w:tr w:rsidR="001570F5" w:rsidRPr="0046529F" w:rsidTr="00D57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1570F5" w:rsidRPr="0046529F" w:rsidRDefault="001570F5" w:rsidP="00D5786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Test dla całej populacji</w:t>
            </w:r>
          </w:p>
        </w:tc>
      </w:tr>
      <w:tr w:rsidR="001570F5" w:rsidRPr="0046529F" w:rsidTr="00D578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1570F5" w:rsidRPr="000D7014" w:rsidRDefault="001570F5" w:rsidP="00D57860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0D701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Faza OLC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1570F5" w:rsidRPr="0046529F" w:rsidRDefault="001570F5" w:rsidP="00D5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843" w:type="dxa"/>
            <w:vAlign w:val="center"/>
          </w:tcPr>
          <w:p w:rsidR="001570F5" w:rsidRPr="0046529F" w:rsidRDefault="001570F5" w:rsidP="00D5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 Kruskala-</w:t>
            </w:r>
            <w:proofErr w:type="spellStart"/>
            <w:r w:rsidRPr="000D701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Wallisa</w:t>
            </w:r>
            <w:proofErr w:type="spellEnd"/>
          </w:p>
        </w:tc>
        <w:tc>
          <w:tcPr>
            <w:tcW w:w="3016" w:type="dxa"/>
            <w:gridSpan w:val="2"/>
            <w:vAlign w:val="center"/>
          </w:tcPr>
          <w:p w:rsidR="001570F5" w:rsidRPr="000D7014" w:rsidRDefault="001570F5" w:rsidP="00D578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986624" w:rsidRPr="0046529F" w:rsidTr="0021234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986624" w:rsidRPr="003337A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wprowadzenie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986624" w:rsidRPr="00986624" w:rsidRDefault="00986624" w:rsidP="00986624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747,62</w:t>
            </w:r>
          </w:p>
        </w:tc>
        <w:tc>
          <w:tcPr>
            <w:tcW w:w="1843" w:type="dxa"/>
            <w:vMerge w:val="restart"/>
            <w:vAlign w:val="center"/>
          </w:tcPr>
          <w:p w:rsidR="00986624" w:rsidRPr="00986624" w:rsidRDefault="00986624" w:rsidP="00212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35,264</w:t>
            </w:r>
          </w:p>
        </w:tc>
        <w:tc>
          <w:tcPr>
            <w:tcW w:w="3016" w:type="dxa"/>
            <w:gridSpan w:val="2"/>
            <w:vMerge w:val="restart"/>
            <w:vAlign w:val="center"/>
          </w:tcPr>
          <w:p w:rsidR="00986624" w:rsidRPr="00986624" w:rsidRDefault="00986624" w:rsidP="002123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0,000</w:t>
            </w: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986624" w:rsidRPr="003337A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wzrost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986624" w:rsidRPr="00986624" w:rsidRDefault="00986624" w:rsidP="00986624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824,97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986624" w:rsidRPr="003337A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dojrzałość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986624" w:rsidRPr="00986624" w:rsidRDefault="00986624" w:rsidP="00986624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821,53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986624" w:rsidRPr="003337A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wstrząs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986624" w:rsidRPr="00986624" w:rsidRDefault="00986624" w:rsidP="00986624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673,52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</w:tcPr>
          <w:p w:rsidR="00986624" w:rsidRPr="003337A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3337A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eastAsia="pl-PL"/>
              </w:rPr>
              <w:t>spadek</w:t>
            </w:r>
          </w:p>
        </w:tc>
        <w:tc>
          <w:tcPr>
            <w:tcW w:w="2301" w:type="dxa"/>
            <w:gridSpan w:val="2"/>
            <w:noWrap/>
            <w:vAlign w:val="center"/>
          </w:tcPr>
          <w:p w:rsidR="00986624" w:rsidRPr="00986624" w:rsidRDefault="00986624" w:rsidP="00986624">
            <w:pPr>
              <w:autoSpaceDE w:val="0"/>
              <w:autoSpaceDN w:val="0"/>
              <w:adjustRightInd w:val="0"/>
              <w:spacing w:line="0" w:lineRule="atLeast"/>
              <w:ind w:left="62" w:right="6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98662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668,63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016" w:type="dxa"/>
            <w:gridSpan w:val="2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6"/>
            <w:shd w:val="clear" w:color="auto" w:fill="D9D9D9" w:themeFill="background1" w:themeFillShade="D9"/>
            <w:noWrap/>
            <w:vAlign w:val="center"/>
          </w:tcPr>
          <w:p w:rsidR="00986624" w:rsidRPr="00986624" w:rsidRDefault="00986624" w:rsidP="00986624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0"/>
                <w:lang w:eastAsia="pl-PL"/>
              </w:rPr>
              <w:t>Porównania międzygrupowe (testy post-hoc)</w:t>
            </w:r>
          </w:p>
        </w:tc>
      </w:tr>
      <w:tr w:rsidR="00986624" w:rsidRPr="0046529F" w:rsidTr="00986624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1 -</w:t>
            </w:r>
            <w:r w:rsidRPr="000D70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465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Próba 2</w:t>
            </w:r>
          </w:p>
        </w:tc>
        <w:tc>
          <w:tcPr>
            <w:tcW w:w="1084" w:type="dxa"/>
            <w:noWrap/>
            <w:vAlign w:val="center"/>
            <w:hideMark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Średnia ranga</w:t>
            </w:r>
          </w:p>
        </w:tc>
        <w:tc>
          <w:tcPr>
            <w:tcW w:w="1217" w:type="dxa"/>
            <w:noWrap/>
            <w:vAlign w:val="center"/>
            <w:hideMark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Suma rang</w:t>
            </w:r>
          </w:p>
        </w:tc>
        <w:tc>
          <w:tcPr>
            <w:tcW w:w="1843" w:type="dxa"/>
            <w:vAlign w:val="center"/>
            <w:hideMark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U </w:t>
            </w:r>
            <w:proofErr w:type="spellStart"/>
            <w:r w:rsidRPr="0098662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Manna-Whitneya</w:t>
            </w:r>
            <w:proofErr w:type="spellEnd"/>
          </w:p>
        </w:tc>
        <w:tc>
          <w:tcPr>
            <w:tcW w:w="1389" w:type="dxa"/>
            <w:vAlign w:val="center"/>
            <w:hideMark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 xml:space="preserve">W </w:t>
            </w:r>
            <w:proofErr w:type="spellStart"/>
            <w:r w:rsidRPr="0098662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Wilcoxona</w:t>
            </w:r>
            <w:proofErr w:type="spellEnd"/>
          </w:p>
        </w:tc>
        <w:tc>
          <w:tcPr>
            <w:tcW w:w="1627" w:type="dxa"/>
            <w:noWrap/>
            <w:vAlign w:val="center"/>
            <w:hideMark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Istotność asymptotyczna</w:t>
            </w: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wzrost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196,14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31187,00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18467,000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31187,000</w:t>
            </w:r>
          </w:p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0,087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216,92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55966,00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dojrzałość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388,33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61744,00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49024,000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61744,000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0,080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425,59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288122,00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229,73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36527,00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19918,000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57868,000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0,122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210,43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57868,00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wprowadzenie - spadek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173,42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27573,00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12495,000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27373,000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0,175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159,15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27373,00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dojrzałość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468,74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120936,00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87141,000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316644,000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0,959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467,72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316644,00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294,86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76075,00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28286,000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66236,000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240,86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66236,00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wzrost - spadek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232,94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60099,00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17688,000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32566,000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189,34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32566,00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wstrzą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1084" w:type="dxa"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502,80</w:t>
            </w:r>
          </w:p>
        </w:tc>
        <w:tc>
          <w:tcPr>
            <w:tcW w:w="1217" w:type="dxa"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340397,000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75281,000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113231,000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411,75</w:t>
            </w:r>
          </w:p>
        </w:tc>
        <w:tc>
          <w:tcPr>
            <w:tcW w:w="1217" w:type="dxa"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113231,000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dojrzałość - spadek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442,43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299522,00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46425,000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61303,000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0,000</w:t>
            </w:r>
          </w:p>
        </w:tc>
      </w:tr>
      <w:tr w:rsidR="00986624" w:rsidRPr="0046529F" w:rsidTr="00986624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356,41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61303,00</w:t>
            </w:r>
          </w:p>
        </w:tc>
        <w:tc>
          <w:tcPr>
            <w:tcW w:w="1843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86624" w:rsidRPr="0046529F" w:rsidTr="009866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 w:val="restart"/>
            <w:noWrap/>
            <w:vAlign w:val="center"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  <w:r w:rsidRPr="0046529F"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  <w:t>wstrząs - spadek</w:t>
            </w: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224,48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61732,00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23518,000</w:t>
            </w:r>
          </w:p>
        </w:tc>
        <w:tc>
          <w:tcPr>
            <w:tcW w:w="1389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38396,000</w:t>
            </w:r>
          </w:p>
        </w:tc>
        <w:tc>
          <w:tcPr>
            <w:tcW w:w="1627" w:type="dxa"/>
            <w:vMerge w:val="restart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0,921</w:t>
            </w:r>
          </w:p>
        </w:tc>
      </w:tr>
      <w:tr w:rsidR="00986624" w:rsidRPr="0046529F" w:rsidTr="00D5786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dxa"/>
            <w:vMerge/>
            <w:hideMark/>
          </w:tcPr>
          <w:p w:rsidR="00986624" w:rsidRPr="0046529F" w:rsidRDefault="00986624" w:rsidP="00986624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223,23</w:t>
            </w:r>
          </w:p>
        </w:tc>
        <w:tc>
          <w:tcPr>
            <w:tcW w:w="1217" w:type="dxa"/>
            <w:noWrap/>
            <w:vAlign w:val="center"/>
          </w:tcPr>
          <w:p w:rsidR="00986624" w:rsidRPr="00986624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986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38396,00</w:t>
            </w:r>
          </w:p>
        </w:tc>
        <w:tc>
          <w:tcPr>
            <w:tcW w:w="1843" w:type="dxa"/>
            <w:vMerge/>
            <w:hideMark/>
          </w:tcPr>
          <w:p w:rsidR="00986624" w:rsidRPr="0046529F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89" w:type="dxa"/>
            <w:vMerge/>
            <w:hideMark/>
          </w:tcPr>
          <w:p w:rsidR="00986624" w:rsidRPr="0046529F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27" w:type="dxa"/>
            <w:vMerge/>
            <w:hideMark/>
          </w:tcPr>
          <w:p w:rsidR="00986624" w:rsidRPr="0046529F" w:rsidRDefault="00986624" w:rsidP="009866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51E74" w:rsidRDefault="001570F5" w:rsidP="00B779D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292C">
        <w:rPr>
          <w:rFonts w:ascii="Times New Roman" w:hAnsi="Times New Roman" w:cs="Times New Roman"/>
          <w:sz w:val="20"/>
          <w:szCs w:val="20"/>
        </w:rPr>
        <w:t>Źródło: opracowanie własne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779D9" w:rsidRPr="00B779D9" w:rsidRDefault="00B779D9" w:rsidP="00B77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CE6" w:rsidRPr="00095643" w:rsidRDefault="00465CE6" w:rsidP="00095643">
      <w:pPr>
        <w:autoSpaceDE w:val="0"/>
        <w:autoSpaceDN w:val="0"/>
        <w:adjustRightInd w:val="0"/>
        <w:spacing w:after="0" w:line="40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CE6" w:rsidRPr="00095643" w:rsidSect="007B6BD9">
      <w:footerReference w:type="default" r:id="rId12"/>
      <w:pgSz w:w="11906" w:h="16838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699" w:rsidRDefault="00077699" w:rsidP="00DE531C">
      <w:pPr>
        <w:spacing w:after="0" w:line="240" w:lineRule="auto"/>
      </w:pPr>
      <w:r>
        <w:separator/>
      </w:r>
    </w:p>
  </w:endnote>
  <w:endnote w:type="continuationSeparator" w:id="0">
    <w:p w:rsidR="00077699" w:rsidRDefault="00077699" w:rsidP="00DE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slon 54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Times"/>
    <w:panose1 w:val="02020603050405020304"/>
    <w:charset w:val="EE"/>
    <w:family w:val="roman"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20000003" w:usb1="08070000" w:usb2="00000010" w:usb3="00000000" w:csb0="000201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09543"/>
      <w:docPartObj>
        <w:docPartGallery w:val="Page Numbers (Bottom of Page)"/>
        <w:docPartUnique/>
      </w:docPartObj>
    </w:sdtPr>
    <w:sdtEndPr/>
    <w:sdtContent>
      <w:p w:rsidR="00B51E74" w:rsidRDefault="00B51E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51E74" w:rsidRDefault="00B51E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699" w:rsidRDefault="00077699" w:rsidP="00DE531C">
      <w:pPr>
        <w:spacing w:after="0" w:line="240" w:lineRule="auto"/>
      </w:pPr>
      <w:r>
        <w:separator/>
      </w:r>
    </w:p>
  </w:footnote>
  <w:footnote w:type="continuationSeparator" w:id="0">
    <w:p w:rsidR="00077699" w:rsidRDefault="00077699" w:rsidP="00DE5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4E858FA"/>
    <w:multiLevelType w:val="hybridMultilevel"/>
    <w:tmpl w:val="58D69F60"/>
    <w:lvl w:ilvl="0" w:tplc="8CC85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8F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209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C602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C2D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CF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A87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68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8D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4C1564"/>
    <w:multiLevelType w:val="hybridMultilevel"/>
    <w:tmpl w:val="868C1E56"/>
    <w:lvl w:ilvl="0" w:tplc="3026A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CE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A7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63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025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266D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325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AE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C4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9832D1"/>
    <w:multiLevelType w:val="hybridMultilevel"/>
    <w:tmpl w:val="6CC099B0"/>
    <w:lvl w:ilvl="0" w:tplc="937EB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60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8E8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28B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A880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6C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108D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C63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1E1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1E36FB4"/>
    <w:multiLevelType w:val="hybridMultilevel"/>
    <w:tmpl w:val="3502E466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24AA"/>
    <w:multiLevelType w:val="hybridMultilevel"/>
    <w:tmpl w:val="99CC9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44C4B"/>
    <w:multiLevelType w:val="hybridMultilevel"/>
    <w:tmpl w:val="27C8A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60F3D"/>
    <w:multiLevelType w:val="hybridMultilevel"/>
    <w:tmpl w:val="D17AF5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35B46"/>
    <w:multiLevelType w:val="hybridMultilevel"/>
    <w:tmpl w:val="72663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A4192"/>
    <w:multiLevelType w:val="hybridMultilevel"/>
    <w:tmpl w:val="737AA60C"/>
    <w:lvl w:ilvl="0" w:tplc="B318457C">
      <w:start w:val="1"/>
      <w:numFmt w:val="bullet"/>
      <w:pStyle w:val="Bulletedlis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9F5E51"/>
    <w:multiLevelType w:val="hybridMultilevel"/>
    <w:tmpl w:val="2896906E"/>
    <w:lvl w:ilvl="0" w:tplc="7376F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F6A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0E1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A1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4E3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789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465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D4A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CF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075761"/>
    <w:multiLevelType w:val="hybridMultilevel"/>
    <w:tmpl w:val="E5522DC2"/>
    <w:lvl w:ilvl="0" w:tplc="D0B67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72F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E3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4C4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08E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B03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C2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020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EA0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633195A"/>
    <w:multiLevelType w:val="hybridMultilevel"/>
    <w:tmpl w:val="7A0ECBA8"/>
    <w:lvl w:ilvl="0" w:tplc="0ED2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47A77"/>
    <w:multiLevelType w:val="multilevel"/>
    <w:tmpl w:val="053C14AE"/>
    <w:styleLink w:val="WWNum1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36B5854"/>
    <w:multiLevelType w:val="hybridMultilevel"/>
    <w:tmpl w:val="8C0ABCCA"/>
    <w:lvl w:ilvl="0" w:tplc="0ED2E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0B5A"/>
    <w:multiLevelType w:val="hybridMultilevel"/>
    <w:tmpl w:val="52923AFE"/>
    <w:lvl w:ilvl="0" w:tplc="A6742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EA62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8A3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0D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1CC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66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C2C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C28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443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15"/>
  </w:num>
  <w:num w:numId="7">
    <w:abstractNumId w:val="2"/>
  </w:num>
  <w:num w:numId="8">
    <w:abstractNumId w:val="12"/>
  </w:num>
  <w:num w:numId="9">
    <w:abstractNumId w:val="13"/>
  </w:num>
  <w:num w:numId="10">
    <w:abstractNumId w:val="13"/>
  </w:num>
  <w:num w:numId="11">
    <w:abstractNumId w:val="0"/>
  </w:num>
  <w:num w:numId="12">
    <w:abstractNumId w:val="14"/>
  </w:num>
  <w:num w:numId="13">
    <w:abstractNumId w:val="5"/>
  </w:num>
  <w:num w:numId="14">
    <w:abstractNumId w:val="7"/>
  </w:num>
  <w:num w:numId="15">
    <w:abstractNumId w:val="8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2D"/>
    <w:rsid w:val="0000648E"/>
    <w:rsid w:val="000072CC"/>
    <w:rsid w:val="00022C8C"/>
    <w:rsid w:val="000235CF"/>
    <w:rsid w:val="00034DFB"/>
    <w:rsid w:val="0005055A"/>
    <w:rsid w:val="00050F9D"/>
    <w:rsid w:val="000541F8"/>
    <w:rsid w:val="00070C12"/>
    <w:rsid w:val="00074B0C"/>
    <w:rsid w:val="00077699"/>
    <w:rsid w:val="00085EF8"/>
    <w:rsid w:val="000900AA"/>
    <w:rsid w:val="00090B79"/>
    <w:rsid w:val="00095643"/>
    <w:rsid w:val="000A2872"/>
    <w:rsid w:val="000A7F96"/>
    <w:rsid w:val="000B3B8B"/>
    <w:rsid w:val="000B44CA"/>
    <w:rsid w:val="000C0302"/>
    <w:rsid w:val="000C2E4C"/>
    <w:rsid w:val="000C3763"/>
    <w:rsid w:val="000C4B41"/>
    <w:rsid w:val="000D0D75"/>
    <w:rsid w:val="000D314D"/>
    <w:rsid w:val="000D6749"/>
    <w:rsid w:val="000D7014"/>
    <w:rsid w:val="000E3259"/>
    <w:rsid w:val="000E367A"/>
    <w:rsid w:val="000F299A"/>
    <w:rsid w:val="000F523A"/>
    <w:rsid w:val="0010416B"/>
    <w:rsid w:val="00112465"/>
    <w:rsid w:val="0011484C"/>
    <w:rsid w:val="00114974"/>
    <w:rsid w:val="00122845"/>
    <w:rsid w:val="001237AE"/>
    <w:rsid w:val="00125376"/>
    <w:rsid w:val="00131E40"/>
    <w:rsid w:val="00132208"/>
    <w:rsid w:val="00134ABE"/>
    <w:rsid w:val="001356C5"/>
    <w:rsid w:val="00141F06"/>
    <w:rsid w:val="0014749C"/>
    <w:rsid w:val="00150C96"/>
    <w:rsid w:val="001570F5"/>
    <w:rsid w:val="00163AA1"/>
    <w:rsid w:val="001654EA"/>
    <w:rsid w:val="00181386"/>
    <w:rsid w:val="0018601B"/>
    <w:rsid w:val="001A07D6"/>
    <w:rsid w:val="001A2614"/>
    <w:rsid w:val="001A437E"/>
    <w:rsid w:val="001A6B5A"/>
    <w:rsid w:val="001B74A3"/>
    <w:rsid w:val="001B7736"/>
    <w:rsid w:val="001C01DA"/>
    <w:rsid w:val="001C5D49"/>
    <w:rsid w:val="001C7F9F"/>
    <w:rsid w:val="001D0950"/>
    <w:rsid w:val="001D33C0"/>
    <w:rsid w:val="001D3F41"/>
    <w:rsid w:val="001F1E93"/>
    <w:rsid w:val="001F789B"/>
    <w:rsid w:val="00201F73"/>
    <w:rsid w:val="00203672"/>
    <w:rsid w:val="00212340"/>
    <w:rsid w:val="00225954"/>
    <w:rsid w:val="00226E70"/>
    <w:rsid w:val="002273E7"/>
    <w:rsid w:val="00227B6D"/>
    <w:rsid w:val="00232569"/>
    <w:rsid w:val="0023331C"/>
    <w:rsid w:val="002368B2"/>
    <w:rsid w:val="00242459"/>
    <w:rsid w:val="00255408"/>
    <w:rsid w:val="00256EF6"/>
    <w:rsid w:val="00256FE3"/>
    <w:rsid w:val="00267191"/>
    <w:rsid w:val="002700A1"/>
    <w:rsid w:val="002743E2"/>
    <w:rsid w:val="00274F10"/>
    <w:rsid w:val="002803F0"/>
    <w:rsid w:val="00286E6D"/>
    <w:rsid w:val="002958F2"/>
    <w:rsid w:val="002971D9"/>
    <w:rsid w:val="002B45A6"/>
    <w:rsid w:val="002D4F8B"/>
    <w:rsid w:val="002D5C6C"/>
    <w:rsid w:val="002E0CCC"/>
    <w:rsid w:val="002E0DF9"/>
    <w:rsid w:val="002E3698"/>
    <w:rsid w:val="002E4C26"/>
    <w:rsid w:val="002E6A78"/>
    <w:rsid w:val="002E7FEB"/>
    <w:rsid w:val="002F0078"/>
    <w:rsid w:val="002F2E31"/>
    <w:rsid w:val="003031C5"/>
    <w:rsid w:val="0030648B"/>
    <w:rsid w:val="00306EF0"/>
    <w:rsid w:val="00315566"/>
    <w:rsid w:val="00317044"/>
    <w:rsid w:val="003203D1"/>
    <w:rsid w:val="00321A86"/>
    <w:rsid w:val="00324736"/>
    <w:rsid w:val="003265AC"/>
    <w:rsid w:val="003279D0"/>
    <w:rsid w:val="00330F14"/>
    <w:rsid w:val="003324C3"/>
    <w:rsid w:val="003337A4"/>
    <w:rsid w:val="00341D3C"/>
    <w:rsid w:val="00343D92"/>
    <w:rsid w:val="0034529A"/>
    <w:rsid w:val="00351ED4"/>
    <w:rsid w:val="00352072"/>
    <w:rsid w:val="00356D4C"/>
    <w:rsid w:val="00371456"/>
    <w:rsid w:val="0037293B"/>
    <w:rsid w:val="003934F3"/>
    <w:rsid w:val="003968F5"/>
    <w:rsid w:val="00396930"/>
    <w:rsid w:val="003A2E80"/>
    <w:rsid w:val="003B1D59"/>
    <w:rsid w:val="003B6E1C"/>
    <w:rsid w:val="003C42D0"/>
    <w:rsid w:val="003C740A"/>
    <w:rsid w:val="003D3094"/>
    <w:rsid w:val="003D30DD"/>
    <w:rsid w:val="003D483B"/>
    <w:rsid w:val="003E1B2B"/>
    <w:rsid w:val="003E2A47"/>
    <w:rsid w:val="003F5999"/>
    <w:rsid w:val="003F6817"/>
    <w:rsid w:val="003F7392"/>
    <w:rsid w:val="00400209"/>
    <w:rsid w:val="004053DC"/>
    <w:rsid w:val="00410DEC"/>
    <w:rsid w:val="00430075"/>
    <w:rsid w:val="004300A1"/>
    <w:rsid w:val="004318C8"/>
    <w:rsid w:val="00435B90"/>
    <w:rsid w:val="00446C61"/>
    <w:rsid w:val="00462397"/>
    <w:rsid w:val="0046390E"/>
    <w:rsid w:val="0046529F"/>
    <w:rsid w:val="00465CE6"/>
    <w:rsid w:val="00466260"/>
    <w:rsid w:val="00471310"/>
    <w:rsid w:val="004772FD"/>
    <w:rsid w:val="00483268"/>
    <w:rsid w:val="004A0CEA"/>
    <w:rsid w:val="004A2092"/>
    <w:rsid w:val="004A5F83"/>
    <w:rsid w:val="004B77C9"/>
    <w:rsid w:val="004D170B"/>
    <w:rsid w:val="004D2958"/>
    <w:rsid w:val="004D29BF"/>
    <w:rsid w:val="004D3940"/>
    <w:rsid w:val="004E1475"/>
    <w:rsid w:val="004E43BD"/>
    <w:rsid w:val="004E4EC2"/>
    <w:rsid w:val="004F6218"/>
    <w:rsid w:val="004F6AFC"/>
    <w:rsid w:val="005023EA"/>
    <w:rsid w:val="00510B5C"/>
    <w:rsid w:val="00523CF8"/>
    <w:rsid w:val="0052463A"/>
    <w:rsid w:val="00527BDD"/>
    <w:rsid w:val="005359F0"/>
    <w:rsid w:val="0053752E"/>
    <w:rsid w:val="00540979"/>
    <w:rsid w:val="00551969"/>
    <w:rsid w:val="00557CBE"/>
    <w:rsid w:val="00562992"/>
    <w:rsid w:val="00563ABE"/>
    <w:rsid w:val="00563E13"/>
    <w:rsid w:val="0056565D"/>
    <w:rsid w:val="00566CA4"/>
    <w:rsid w:val="00575018"/>
    <w:rsid w:val="00581106"/>
    <w:rsid w:val="0058452E"/>
    <w:rsid w:val="00587608"/>
    <w:rsid w:val="00594C95"/>
    <w:rsid w:val="00594FC6"/>
    <w:rsid w:val="005A476E"/>
    <w:rsid w:val="005A6FE2"/>
    <w:rsid w:val="005B683A"/>
    <w:rsid w:val="005C10EC"/>
    <w:rsid w:val="005C7A26"/>
    <w:rsid w:val="005D041F"/>
    <w:rsid w:val="005D2878"/>
    <w:rsid w:val="005D44A3"/>
    <w:rsid w:val="005E0003"/>
    <w:rsid w:val="005E4004"/>
    <w:rsid w:val="005E5337"/>
    <w:rsid w:val="005F0ACB"/>
    <w:rsid w:val="005F7F27"/>
    <w:rsid w:val="00604FBB"/>
    <w:rsid w:val="00606FED"/>
    <w:rsid w:val="00611D6E"/>
    <w:rsid w:val="00611ECC"/>
    <w:rsid w:val="00614426"/>
    <w:rsid w:val="006152E3"/>
    <w:rsid w:val="00616A12"/>
    <w:rsid w:val="00623672"/>
    <w:rsid w:val="00625269"/>
    <w:rsid w:val="006317F9"/>
    <w:rsid w:val="00636AB5"/>
    <w:rsid w:val="006441DF"/>
    <w:rsid w:val="006460CD"/>
    <w:rsid w:val="00651F98"/>
    <w:rsid w:val="00664BAA"/>
    <w:rsid w:val="006651E0"/>
    <w:rsid w:val="00665559"/>
    <w:rsid w:val="00666B98"/>
    <w:rsid w:val="00674544"/>
    <w:rsid w:val="00675521"/>
    <w:rsid w:val="00686252"/>
    <w:rsid w:val="006937DD"/>
    <w:rsid w:val="00697DC5"/>
    <w:rsid w:val="006A3EE4"/>
    <w:rsid w:val="006A6593"/>
    <w:rsid w:val="006B6D4E"/>
    <w:rsid w:val="006C5BB3"/>
    <w:rsid w:val="006D433C"/>
    <w:rsid w:val="006D773B"/>
    <w:rsid w:val="006E3B0E"/>
    <w:rsid w:val="006F659D"/>
    <w:rsid w:val="00706231"/>
    <w:rsid w:val="00717A46"/>
    <w:rsid w:val="00725DA2"/>
    <w:rsid w:val="00730E66"/>
    <w:rsid w:val="00733CD2"/>
    <w:rsid w:val="007421DC"/>
    <w:rsid w:val="0075292C"/>
    <w:rsid w:val="00765439"/>
    <w:rsid w:val="00774822"/>
    <w:rsid w:val="00775E07"/>
    <w:rsid w:val="007927C2"/>
    <w:rsid w:val="007B6BD9"/>
    <w:rsid w:val="007C0258"/>
    <w:rsid w:val="007C1859"/>
    <w:rsid w:val="007C2DD0"/>
    <w:rsid w:val="007C3909"/>
    <w:rsid w:val="007D1649"/>
    <w:rsid w:val="007D72F6"/>
    <w:rsid w:val="007F14C0"/>
    <w:rsid w:val="007F48F4"/>
    <w:rsid w:val="007F559B"/>
    <w:rsid w:val="00811797"/>
    <w:rsid w:val="008207CA"/>
    <w:rsid w:val="00824448"/>
    <w:rsid w:val="0082652A"/>
    <w:rsid w:val="008337F3"/>
    <w:rsid w:val="00847AE1"/>
    <w:rsid w:val="00851B0A"/>
    <w:rsid w:val="0085534B"/>
    <w:rsid w:val="00856544"/>
    <w:rsid w:val="00856A16"/>
    <w:rsid w:val="00864FD2"/>
    <w:rsid w:val="00866697"/>
    <w:rsid w:val="008712D0"/>
    <w:rsid w:val="008718A2"/>
    <w:rsid w:val="0088022A"/>
    <w:rsid w:val="008A501B"/>
    <w:rsid w:val="008A54F9"/>
    <w:rsid w:val="008C0B7E"/>
    <w:rsid w:val="008C0D9D"/>
    <w:rsid w:val="008C6CA2"/>
    <w:rsid w:val="008D2A22"/>
    <w:rsid w:val="008D6B52"/>
    <w:rsid w:val="008E07F7"/>
    <w:rsid w:val="008E0D27"/>
    <w:rsid w:val="008F126F"/>
    <w:rsid w:val="008F7B7C"/>
    <w:rsid w:val="00900B89"/>
    <w:rsid w:val="0091306A"/>
    <w:rsid w:val="009164D9"/>
    <w:rsid w:val="00923A7E"/>
    <w:rsid w:val="00946205"/>
    <w:rsid w:val="00957CAD"/>
    <w:rsid w:val="0097442C"/>
    <w:rsid w:val="00977693"/>
    <w:rsid w:val="00986610"/>
    <w:rsid w:val="00986624"/>
    <w:rsid w:val="00992E98"/>
    <w:rsid w:val="009934A5"/>
    <w:rsid w:val="009955B8"/>
    <w:rsid w:val="009A2011"/>
    <w:rsid w:val="009A75A7"/>
    <w:rsid w:val="009A79EC"/>
    <w:rsid w:val="009B052D"/>
    <w:rsid w:val="009B4A45"/>
    <w:rsid w:val="009C6D5A"/>
    <w:rsid w:val="009C78E5"/>
    <w:rsid w:val="009D19CE"/>
    <w:rsid w:val="009D44B5"/>
    <w:rsid w:val="009F3BD2"/>
    <w:rsid w:val="009F46F9"/>
    <w:rsid w:val="009F7161"/>
    <w:rsid w:val="00A12095"/>
    <w:rsid w:val="00A12A26"/>
    <w:rsid w:val="00A156F5"/>
    <w:rsid w:val="00A20F3E"/>
    <w:rsid w:val="00A21DA5"/>
    <w:rsid w:val="00A27AF9"/>
    <w:rsid w:val="00A36C37"/>
    <w:rsid w:val="00A50480"/>
    <w:rsid w:val="00A60BD2"/>
    <w:rsid w:val="00A6261D"/>
    <w:rsid w:val="00A652CB"/>
    <w:rsid w:val="00A7659D"/>
    <w:rsid w:val="00A77AFB"/>
    <w:rsid w:val="00A85AA6"/>
    <w:rsid w:val="00A85C3D"/>
    <w:rsid w:val="00A9194D"/>
    <w:rsid w:val="00A926F3"/>
    <w:rsid w:val="00A96C4D"/>
    <w:rsid w:val="00AA01DD"/>
    <w:rsid w:val="00AA116E"/>
    <w:rsid w:val="00AA3F65"/>
    <w:rsid w:val="00AA47B8"/>
    <w:rsid w:val="00AB03BF"/>
    <w:rsid w:val="00AB3EA0"/>
    <w:rsid w:val="00AC602F"/>
    <w:rsid w:val="00AC730F"/>
    <w:rsid w:val="00AD4C41"/>
    <w:rsid w:val="00AE235D"/>
    <w:rsid w:val="00AF76B8"/>
    <w:rsid w:val="00B008C4"/>
    <w:rsid w:val="00B011B1"/>
    <w:rsid w:val="00B034C4"/>
    <w:rsid w:val="00B07526"/>
    <w:rsid w:val="00B138A7"/>
    <w:rsid w:val="00B149F4"/>
    <w:rsid w:val="00B17AB7"/>
    <w:rsid w:val="00B23D5C"/>
    <w:rsid w:val="00B24CDB"/>
    <w:rsid w:val="00B2613C"/>
    <w:rsid w:val="00B36009"/>
    <w:rsid w:val="00B364DF"/>
    <w:rsid w:val="00B51E74"/>
    <w:rsid w:val="00B55343"/>
    <w:rsid w:val="00B563DE"/>
    <w:rsid w:val="00B6104D"/>
    <w:rsid w:val="00B6430D"/>
    <w:rsid w:val="00B66444"/>
    <w:rsid w:val="00B70AD1"/>
    <w:rsid w:val="00B762EB"/>
    <w:rsid w:val="00B779D9"/>
    <w:rsid w:val="00B77E82"/>
    <w:rsid w:val="00B82EA6"/>
    <w:rsid w:val="00B83A63"/>
    <w:rsid w:val="00B83EAB"/>
    <w:rsid w:val="00B877BB"/>
    <w:rsid w:val="00BA6036"/>
    <w:rsid w:val="00BB1C6D"/>
    <w:rsid w:val="00BB4D32"/>
    <w:rsid w:val="00BC0861"/>
    <w:rsid w:val="00BC0975"/>
    <w:rsid w:val="00BC112D"/>
    <w:rsid w:val="00BC334C"/>
    <w:rsid w:val="00BE03FC"/>
    <w:rsid w:val="00BF06EE"/>
    <w:rsid w:val="00BF1FA5"/>
    <w:rsid w:val="00BF43E7"/>
    <w:rsid w:val="00BF6C53"/>
    <w:rsid w:val="00C07137"/>
    <w:rsid w:val="00C10A22"/>
    <w:rsid w:val="00C120B1"/>
    <w:rsid w:val="00C12B6F"/>
    <w:rsid w:val="00C17608"/>
    <w:rsid w:val="00C21112"/>
    <w:rsid w:val="00C23E6D"/>
    <w:rsid w:val="00C30E32"/>
    <w:rsid w:val="00C30FBC"/>
    <w:rsid w:val="00C43627"/>
    <w:rsid w:val="00C46944"/>
    <w:rsid w:val="00C47B7D"/>
    <w:rsid w:val="00C5209D"/>
    <w:rsid w:val="00C523F3"/>
    <w:rsid w:val="00C624E9"/>
    <w:rsid w:val="00C731A2"/>
    <w:rsid w:val="00C7396C"/>
    <w:rsid w:val="00C771DF"/>
    <w:rsid w:val="00C77AAE"/>
    <w:rsid w:val="00C80A94"/>
    <w:rsid w:val="00C82353"/>
    <w:rsid w:val="00C87CD7"/>
    <w:rsid w:val="00CA10E9"/>
    <w:rsid w:val="00CA33DF"/>
    <w:rsid w:val="00CB65C0"/>
    <w:rsid w:val="00CC2C9E"/>
    <w:rsid w:val="00CC3A9B"/>
    <w:rsid w:val="00CD0AB8"/>
    <w:rsid w:val="00CD2506"/>
    <w:rsid w:val="00CD3495"/>
    <w:rsid w:val="00CE0FD5"/>
    <w:rsid w:val="00CE12B0"/>
    <w:rsid w:val="00D0488D"/>
    <w:rsid w:val="00D14FD3"/>
    <w:rsid w:val="00D15E1D"/>
    <w:rsid w:val="00D21163"/>
    <w:rsid w:val="00D22014"/>
    <w:rsid w:val="00D225DA"/>
    <w:rsid w:val="00D3084C"/>
    <w:rsid w:val="00D341C0"/>
    <w:rsid w:val="00D41599"/>
    <w:rsid w:val="00D476C2"/>
    <w:rsid w:val="00D674A7"/>
    <w:rsid w:val="00D71886"/>
    <w:rsid w:val="00D80596"/>
    <w:rsid w:val="00D92CC1"/>
    <w:rsid w:val="00DB2946"/>
    <w:rsid w:val="00DD34A3"/>
    <w:rsid w:val="00DD5061"/>
    <w:rsid w:val="00DE24E3"/>
    <w:rsid w:val="00DE531C"/>
    <w:rsid w:val="00DE59EA"/>
    <w:rsid w:val="00E05613"/>
    <w:rsid w:val="00E113B2"/>
    <w:rsid w:val="00E116B3"/>
    <w:rsid w:val="00E120C3"/>
    <w:rsid w:val="00E12E3E"/>
    <w:rsid w:val="00E22AFC"/>
    <w:rsid w:val="00E23D89"/>
    <w:rsid w:val="00E27804"/>
    <w:rsid w:val="00E27841"/>
    <w:rsid w:val="00E32E6B"/>
    <w:rsid w:val="00E340D7"/>
    <w:rsid w:val="00E36F04"/>
    <w:rsid w:val="00E41FFF"/>
    <w:rsid w:val="00E6381D"/>
    <w:rsid w:val="00E649CC"/>
    <w:rsid w:val="00E86AE4"/>
    <w:rsid w:val="00E86B54"/>
    <w:rsid w:val="00EA47D8"/>
    <w:rsid w:val="00EA6E7B"/>
    <w:rsid w:val="00EB1382"/>
    <w:rsid w:val="00EC19CA"/>
    <w:rsid w:val="00ED4597"/>
    <w:rsid w:val="00ED692F"/>
    <w:rsid w:val="00EE0244"/>
    <w:rsid w:val="00EE19CD"/>
    <w:rsid w:val="00EE38A7"/>
    <w:rsid w:val="00EF02F4"/>
    <w:rsid w:val="00EF2F0A"/>
    <w:rsid w:val="00F06DEC"/>
    <w:rsid w:val="00F125C1"/>
    <w:rsid w:val="00F14ACE"/>
    <w:rsid w:val="00F171FE"/>
    <w:rsid w:val="00F33074"/>
    <w:rsid w:val="00F42ABD"/>
    <w:rsid w:val="00F45D47"/>
    <w:rsid w:val="00F51DED"/>
    <w:rsid w:val="00F52051"/>
    <w:rsid w:val="00F56B22"/>
    <w:rsid w:val="00F67C97"/>
    <w:rsid w:val="00F74372"/>
    <w:rsid w:val="00F7467D"/>
    <w:rsid w:val="00F87912"/>
    <w:rsid w:val="00F90501"/>
    <w:rsid w:val="00F94BF2"/>
    <w:rsid w:val="00F9730D"/>
    <w:rsid w:val="00FA04EC"/>
    <w:rsid w:val="00FA280B"/>
    <w:rsid w:val="00FA34DA"/>
    <w:rsid w:val="00FA6A1D"/>
    <w:rsid w:val="00FB7754"/>
    <w:rsid w:val="00FC321F"/>
    <w:rsid w:val="00FD1A1A"/>
    <w:rsid w:val="00FD1F80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552B"/>
  <w15:chartTrackingRefBased/>
  <w15:docId w15:val="{0F7A7548-2EA5-4722-BBEA-E9D71D75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2F0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4E43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B052D"/>
    <w:pPr>
      <w:ind w:left="720"/>
      <w:contextualSpacing/>
    </w:pPr>
  </w:style>
  <w:style w:type="paragraph" w:customStyle="1" w:styleId="Standard">
    <w:name w:val="Standard"/>
    <w:rsid w:val="000B44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C1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C10A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C10A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lid-translation">
    <w:name w:val="tlid-translation"/>
    <w:basedOn w:val="Domylnaczcionkaakapitu"/>
    <w:rsid w:val="00306EF0"/>
  </w:style>
  <w:style w:type="paragraph" w:styleId="Tekstprzypisudolnego">
    <w:name w:val="footnote text"/>
    <w:basedOn w:val="Normalny"/>
    <w:link w:val="TekstprzypisudolnegoZnak"/>
    <w:unhideWhenUsed/>
    <w:qFormat/>
    <w:rsid w:val="00DE53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531C"/>
    <w:rPr>
      <w:sz w:val="20"/>
      <w:szCs w:val="20"/>
    </w:rPr>
  </w:style>
  <w:style w:type="character" w:styleId="Odwoanieprzypisudolnego">
    <w:name w:val="footnote reference"/>
    <w:aliases w:val="Odwołanie przypisu,Footnote symbol,Footnote Reference Number"/>
    <w:basedOn w:val="Domylnaczcionkaakapitu"/>
    <w:unhideWhenUsed/>
    <w:rsid w:val="00DE531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E531C"/>
    <w:rPr>
      <w:color w:val="0000FF"/>
      <w:u w:val="single"/>
    </w:rPr>
  </w:style>
  <w:style w:type="numbering" w:customStyle="1" w:styleId="WWNum17">
    <w:name w:val="WWNum17"/>
    <w:basedOn w:val="Bezlisty"/>
    <w:rsid w:val="00F42ABD"/>
    <w:pPr>
      <w:numPr>
        <w:numId w:val="9"/>
      </w:numPr>
    </w:pPr>
  </w:style>
  <w:style w:type="character" w:customStyle="1" w:styleId="Znakiprzypiswdolnych">
    <w:name w:val="Znaki przypisów dolnych"/>
    <w:rsid w:val="00614426"/>
    <w:rPr>
      <w:vertAlign w:val="superscript"/>
    </w:rPr>
  </w:style>
  <w:style w:type="paragraph" w:customStyle="1" w:styleId="TekstpodstwcityUE">
    <w:name w:val="Tekst podst.::wcięty (UE)"/>
    <w:basedOn w:val="Normalny"/>
    <w:qFormat/>
    <w:rsid w:val="007F559B"/>
    <w:pPr>
      <w:suppressAutoHyphens/>
      <w:spacing w:after="120" w:line="260" w:lineRule="atLeast"/>
      <w:ind w:firstLine="340"/>
      <w:jc w:val="both"/>
    </w:pPr>
    <w:rPr>
      <w:rFonts w:ascii="Times New Roman" w:eastAsia="Calibri" w:hAnsi="Times New Roman" w:cs="Times New Roman"/>
      <w:spacing w:val="-2"/>
      <w:lang w:eastAsia="ar-SA"/>
    </w:rPr>
  </w:style>
  <w:style w:type="character" w:styleId="Pogrubienie">
    <w:name w:val="Strong"/>
    <w:uiPriority w:val="22"/>
    <w:qFormat/>
    <w:rsid w:val="00EB1382"/>
    <w:rPr>
      <w:b/>
      <w:bCs/>
    </w:rPr>
  </w:style>
  <w:style w:type="table" w:styleId="Siatkatabelijasna">
    <w:name w:val="Grid Table Light"/>
    <w:basedOn w:val="Standardowy"/>
    <w:uiPriority w:val="40"/>
    <w:rsid w:val="00274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CA10E9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8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8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8C4"/>
    <w:rPr>
      <w:vertAlign w:val="superscript"/>
    </w:rPr>
  </w:style>
  <w:style w:type="paragraph" w:customStyle="1" w:styleId="Bulletedlist">
    <w:name w:val="Bulleted list"/>
    <w:basedOn w:val="Normalny"/>
    <w:rsid w:val="00AC602F"/>
    <w:pPr>
      <w:numPr>
        <w:numId w:val="17"/>
      </w:numPr>
    </w:pPr>
  </w:style>
  <w:style w:type="character" w:customStyle="1" w:styleId="orcid-id-https">
    <w:name w:val="orcid-id-https"/>
    <w:basedOn w:val="Domylnaczcionkaakapitu"/>
    <w:rsid w:val="00D80596"/>
  </w:style>
  <w:style w:type="character" w:customStyle="1" w:styleId="normaltextrun">
    <w:name w:val="normaltextrun"/>
    <w:basedOn w:val="Domylnaczcionkaakapitu"/>
    <w:rsid w:val="007B6BD9"/>
  </w:style>
  <w:style w:type="paragraph" w:customStyle="1" w:styleId="Default">
    <w:name w:val="Default"/>
    <w:rsid w:val="00150C96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597"/>
  </w:style>
  <w:style w:type="paragraph" w:styleId="Stopka">
    <w:name w:val="footer"/>
    <w:basedOn w:val="Normalny"/>
    <w:link w:val="StopkaZnak"/>
    <w:uiPriority w:val="99"/>
    <w:unhideWhenUsed/>
    <w:rsid w:val="00ED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597"/>
  </w:style>
  <w:style w:type="character" w:customStyle="1" w:styleId="q4iawc">
    <w:name w:val="q4iawc"/>
    <w:basedOn w:val="Domylnaczcionkaakapitu"/>
    <w:rsid w:val="00686252"/>
  </w:style>
  <w:style w:type="character" w:customStyle="1" w:styleId="markedcontent">
    <w:name w:val="markedcontent"/>
    <w:basedOn w:val="Domylnaczcionkaakapitu"/>
    <w:rsid w:val="008A54F9"/>
  </w:style>
  <w:style w:type="character" w:styleId="Uwydatnienie">
    <w:name w:val="Emphasis"/>
    <w:basedOn w:val="Domylnaczcionkaakapitu"/>
    <w:uiPriority w:val="20"/>
    <w:qFormat/>
    <w:rsid w:val="009955B8"/>
    <w:rPr>
      <w:i/>
      <w:iCs/>
    </w:rPr>
  </w:style>
  <w:style w:type="character" w:customStyle="1" w:styleId="A10">
    <w:name w:val="A10"/>
    <w:uiPriority w:val="99"/>
    <w:rsid w:val="0091306A"/>
    <w:rPr>
      <w:rFonts w:cs="Caslon 540"/>
      <w:color w:val="000000"/>
      <w:sz w:val="16"/>
      <w:szCs w:val="16"/>
    </w:rPr>
  </w:style>
  <w:style w:type="table" w:styleId="Zwykatabela2">
    <w:name w:val="Plain Table 2"/>
    <w:basedOn w:val="Standardowy"/>
    <w:uiPriority w:val="42"/>
    <w:rsid w:val="00EC19C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viiyi">
    <w:name w:val="viiyi"/>
    <w:basedOn w:val="Domylnaczcionkaakapitu"/>
    <w:rsid w:val="00923A7E"/>
  </w:style>
  <w:style w:type="character" w:customStyle="1" w:styleId="Nagwek3Znak">
    <w:name w:val="Nagłówek 3 Znak"/>
    <w:basedOn w:val="Domylnaczcionkaakapitu"/>
    <w:link w:val="Nagwek3"/>
    <w:uiPriority w:val="9"/>
    <w:rsid w:val="004E43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E43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050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5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C43627"/>
    <w:rPr>
      <w:i/>
      <w:iCs/>
    </w:rPr>
  </w:style>
  <w:style w:type="character" w:customStyle="1" w:styleId="cite-lastname">
    <w:name w:val="cite-lastname"/>
    <w:basedOn w:val="Domylnaczcionkaakapitu"/>
    <w:rsid w:val="00C43627"/>
  </w:style>
  <w:style w:type="character" w:customStyle="1" w:styleId="cite-name-after">
    <w:name w:val="cite-name-after"/>
    <w:basedOn w:val="Domylnaczcionkaakapitu"/>
    <w:rsid w:val="00C43627"/>
  </w:style>
  <w:style w:type="character" w:customStyle="1" w:styleId="cite-name-initials">
    <w:name w:val="cite-name-initials"/>
    <w:basedOn w:val="Domylnaczcionkaakapitu"/>
    <w:rsid w:val="00C43627"/>
  </w:style>
  <w:style w:type="paragraph" w:customStyle="1" w:styleId="Pa12">
    <w:name w:val="Pa12"/>
    <w:basedOn w:val="Default"/>
    <w:next w:val="Default"/>
    <w:uiPriority w:val="99"/>
    <w:rsid w:val="00B77E82"/>
    <w:pPr>
      <w:spacing w:line="201" w:lineRule="atLeast"/>
    </w:pPr>
    <w:rPr>
      <w:rFonts w:ascii="Times" w:hAnsi="Times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8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6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Krak&#243;w%20Lubli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Krak&#243;w%20Lubli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Krak&#243;w%20Lubli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Krak&#243;w%20Lubli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 w="3175"/>
          </c:spPr>
          <c:dPt>
            <c:idx val="0"/>
            <c:bubble3D val="0"/>
            <c:spPr>
              <a:solidFill>
                <a:schemeClr val="dk1">
                  <a:tint val="88500"/>
                </a:schemeClr>
              </a:solidFill>
              <a:ln w="317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FA2-49F6-A088-09ABA701036F}"/>
              </c:ext>
            </c:extLst>
          </c:dPt>
          <c:dPt>
            <c:idx val="1"/>
            <c:bubble3D val="0"/>
            <c:spPr>
              <a:solidFill>
                <a:schemeClr val="dk1">
                  <a:tint val="55000"/>
                </a:schemeClr>
              </a:solidFill>
              <a:ln w="317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FA2-49F6-A088-09ABA701036F}"/>
              </c:ext>
            </c:extLst>
          </c:dPt>
          <c:dPt>
            <c:idx val="2"/>
            <c:bubble3D val="0"/>
            <c:spPr>
              <a:solidFill>
                <a:schemeClr val="dk1">
                  <a:tint val="75000"/>
                </a:schemeClr>
              </a:solidFill>
              <a:ln w="317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FA2-49F6-A088-09ABA701036F}"/>
              </c:ext>
            </c:extLst>
          </c:dPt>
          <c:dPt>
            <c:idx val="3"/>
            <c:bubble3D val="0"/>
            <c:spPr>
              <a:solidFill>
                <a:schemeClr val="dk1">
                  <a:tint val="98500"/>
                </a:schemeClr>
              </a:solidFill>
              <a:ln w="317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FA2-49F6-A088-09ABA701036F}"/>
              </c:ext>
            </c:extLst>
          </c:dPt>
          <c:dPt>
            <c:idx val="4"/>
            <c:bubble3D val="0"/>
            <c:spPr>
              <a:solidFill>
                <a:schemeClr val="dk1">
                  <a:tint val="30000"/>
                </a:schemeClr>
              </a:solidFill>
              <a:ln w="3175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FA2-49F6-A088-09ABA701036F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DFA2-49F6-A088-09ABA701036F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pl-PL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DFA2-49F6-A088-09ABA701036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'real i CF'!$BV$711:$BZ$711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CF'!$BV$712:$BZ$712</c:f>
              <c:numCache>
                <c:formatCode>0.00%</c:formatCode>
                <c:ptCount val="5"/>
                <c:pt idx="0">
                  <c:v>0.10331384015594541</c:v>
                </c:pt>
                <c:pt idx="1">
                  <c:v>0.16764132553606237</c:v>
                </c:pt>
                <c:pt idx="2">
                  <c:v>0.43794671864847301</c:v>
                </c:pt>
                <c:pt idx="3">
                  <c:v>0.17868745938921377</c:v>
                </c:pt>
                <c:pt idx="4">
                  <c:v>0.11241065627030539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FA2-49F6-A088-09ABA701036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50000"/>
          <a:lumOff val="50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'real i CF'!$AM$684</c:f>
              <c:strCache>
                <c:ptCount val="1"/>
                <c:pt idx="0">
                  <c:v>średnia 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CF'!$AN$683:$AR$683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CF'!$AN$684:$AR$684</c:f>
              <c:numCache>
                <c:formatCode>0.000</c:formatCode>
                <c:ptCount val="5"/>
                <c:pt idx="0">
                  <c:v>-0.12482050806221115</c:v>
                </c:pt>
                <c:pt idx="1">
                  <c:v>3.1454652047059543E-2</c:v>
                </c:pt>
                <c:pt idx="2">
                  <c:v>6.4251834807175737E-2</c:v>
                </c:pt>
                <c:pt idx="3">
                  <c:v>2.4369805767035235E-2</c:v>
                </c:pt>
                <c:pt idx="4">
                  <c:v>-8.645255738332891E-2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2B-425A-9865-348A80EB52B3}"/>
            </c:ext>
          </c:extLst>
        </c:ser>
        <c:ser>
          <c:idx val="1"/>
          <c:order val="1"/>
          <c:tx>
            <c:strRef>
              <c:f>'real i CF'!$AM$685</c:f>
              <c:strCache>
                <c:ptCount val="1"/>
                <c:pt idx="0">
                  <c:v>mediana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CF'!$AN$683:$AR$683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CF'!$AN$685:$AR$685</c:f>
              <c:numCache>
                <c:formatCode>0.000</c:formatCode>
                <c:ptCount val="5"/>
                <c:pt idx="0">
                  <c:v>-9.4180481079989997E-2</c:v>
                </c:pt>
                <c:pt idx="1">
                  <c:v>2.3820718642138451E-2</c:v>
                </c:pt>
                <c:pt idx="2">
                  <c:v>5.3642036640090505E-2</c:v>
                </c:pt>
                <c:pt idx="3">
                  <c:v>1.1918888759789879E-2</c:v>
                </c:pt>
                <c:pt idx="4">
                  <c:v>-6.5509049960439325E-2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72B-425A-9865-348A80EB5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2538624"/>
        <c:axId val="597070880"/>
      </c:barChart>
      <c:catAx>
        <c:axId val="37253862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97070880"/>
        <c:crosses val="autoZero"/>
        <c:auto val="1"/>
        <c:lblAlgn val="ctr"/>
        <c:lblOffset val="100"/>
        <c:noMultiLvlLbl val="0"/>
      </c:catAx>
      <c:valAx>
        <c:axId val="59707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Wartość wskaźnika OCFdisc</a:t>
                </a:r>
              </a:p>
            </c:rich>
          </c:tx>
          <c:layout>
            <c:manualLayout>
              <c:xMode val="edge"/>
              <c:yMode val="edge"/>
              <c:x val="1.9267822736030827E-2"/>
              <c:y val="0.1812918864510868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l-PL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372538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2">
          <a:lumMod val="50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'real i CF'!$BC$684</c:f>
              <c:strCache>
                <c:ptCount val="1"/>
                <c:pt idx="0">
                  <c:v>średnia 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CF'!$BD$683:$BH$683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CF'!$BD$684:$BH$684</c:f>
              <c:numCache>
                <c:formatCode>0.000</c:formatCode>
                <c:ptCount val="5"/>
                <c:pt idx="0">
                  <c:v>2.6173033464784595E-2</c:v>
                </c:pt>
                <c:pt idx="1">
                  <c:v>-5.4858409612138108E-2</c:v>
                </c:pt>
                <c:pt idx="2">
                  <c:v>-3.4589169896097852E-2</c:v>
                </c:pt>
                <c:pt idx="3">
                  <c:v>7.2447447609490623E-2</c:v>
                </c:pt>
                <c:pt idx="4">
                  <c:v>7.8405681895789003E-2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67-4891-8DDC-30DB66048BEB}"/>
            </c:ext>
          </c:extLst>
        </c:ser>
        <c:ser>
          <c:idx val="1"/>
          <c:order val="1"/>
          <c:tx>
            <c:strRef>
              <c:f>'real i CF'!$BC$685</c:f>
              <c:strCache>
                <c:ptCount val="1"/>
                <c:pt idx="0">
                  <c:v>mediana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CF'!$BD$683:$BH$683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CF'!$BD$685:$BH$685</c:f>
              <c:numCache>
                <c:formatCode>0.000</c:formatCode>
                <c:ptCount val="5"/>
                <c:pt idx="0">
                  <c:v>5.50398883129255E-2</c:v>
                </c:pt>
                <c:pt idx="1">
                  <c:v>-1.5160140064891525E-3</c:v>
                </c:pt>
                <c:pt idx="2">
                  <c:v>-3.9479274847262769E-3</c:v>
                </c:pt>
                <c:pt idx="3">
                  <c:v>6.7245946830371106E-2</c:v>
                </c:pt>
                <c:pt idx="4">
                  <c:v>8.2948729705918711E-2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67-4891-8DDC-30DB66048B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34465504"/>
        <c:axId val="1729596352"/>
      </c:barChart>
      <c:catAx>
        <c:axId val="1734465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1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729596352"/>
        <c:crosses val="autoZero"/>
        <c:auto val="1"/>
        <c:lblAlgn val="ctr"/>
        <c:lblOffset val="100"/>
        <c:noMultiLvlLbl val="0"/>
      </c:catAx>
      <c:valAx>
        <c:axId val="172959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Wartość wskaźnika PRODdisc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l-PL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734465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'real i CF'!$BU$684</c:f>
              <c:strCache>
                <c:ptCount val="1"/>
                <c:pt idx="0">
                  <c:v>średnia </c:v>
                </c:pt>
              </c:strCache>
            </c:strRef>
          </c:tx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CF'!$BV$683:$BZ$683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CF'!$BV$684:$BZ$684</c:f>
              <c:numCache>
                <c:formatCode>0.000</c:formatCode>
                <c:ptCount val="5"/>
                <c:pt idx="0">
                  <c:v>3.993543510266117E-2</c:v>
                </c:pt>
                <c:pt idx="1">
                  <c:v>4.9454309352269167E-2</c:v>
                </c:pt>
                <c:pt idx="2">
                  <c:v>4.3491016140898682E-2</c:v>
                </c:pt>
                <c:pt idx="3">
                  <c:v>4.6837950353008613E-3</c:v>
                </c:pt>
                <c:pt idx="4">
                  <c:v>1.1773524695589465E-2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FD-4646-8300-3E029B4CF41C}"/>
            </c:ext>
          </c:extLst>
        </c:ser>
        <c:ser>
          <c:idx val="1"/>
          <c:order val="1"/>
          <c:tx>
            <c:strRef>
              <c:f>'real i CF'!$BU$685</c:f>
              <c:strCache>
                <c:ptCount val="1"/>
                <c:pt idx="0">
                  <c:v>mediana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'real i CF'!$BV$683:$BZ$683</c:f>
              <c:strCache>
                <c:ptCount val="5"/>
                <c:pt idx="0">
                  <c:v>wprowadzenie</c:v>
                </c:pt>
                <c:pt idx="1">
                  <c:v>wzrost</c:v>
                </c:pt>
                <c:pt idx="2">
                  <c:v>dojrzałość</c:v>
                </c:pt>
                <c:pt idx="3">
                  <c:v>wstrząs</c:v>
                </c:pt>
                <c:pt idx="4">
                  <c:v>spadek</c:v>
                </c:pt>
              </c:strCache>
            </c:strRef>
          </c:cat>
          <c:val>
            <c:numRef>
              <c:f>'real i CF'!$BV$685:$BZ$685</c:f>
              <c:numCache>
                <c:formatCode>0.000</c:formatCode>
                <c:ptCount val="5"/>
                <c:pt idx="0">
                  <c:v>5.8939873223106051E-3</c:v>
                </c:pt>
                <c:pt idx="1">
                  <c:v>1.2147854145159126E-2</c:v>
                </c:pt>
                <c:pt idx="2">
                  <c:v>2.0559292905971173E-2</c:v>
                </c:pt>
                <c:pt idx="3">
                  <c:v>-9.65288764654827E-4</c:v>
                </c:pt>
                <c:pt idx="4">
                  <c:v>4.227668370406985E-3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FD-4646-8300-3E029B4CF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7306928"/>
        <c:axId val="1891591184"/>
      </c:barChart>
      <c:catAx>
        <c:axId val="188730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891591184"/>
        <c:crosses val="autoZero"/>
        <c:auto val="1"/>
        <c:lblAlgn val="ctr"/>
        <c:lblOffset val="100"/>
        <c:noMultiLvlLbl val="0"/>
      </c:catAx>
      <c:valAx>
        <c:axId val="189159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Wartości wskaźnika DISXdisc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l-PL"/>
            </a:p>
          </c:txPr>
        </c:title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188730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2">
          <a:lumMod val="50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4397B-67A4-4099-8CFC-8FE22392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Michał Comporek</cp:lastModifiedBy>
  <cp:revision>3</cp:revision>
  <dcterms:created xsi:type="dcterms:W3CDTF">2022-05-31T13:54:00Z</dcterms:created>
  <dcterms:modified xsi:type="dcterms:W3CDTF">2022-05-31T13:56:00Z</dcterms:modified>
</cp:coreProperties>
</file>