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35526" w14:textId="77777777" w:rsidR="000F6C40" w:rsidRDefault="000F6C40" w:rsidP="000F6C4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Raportowanie ładu korporacyjnego</w:t>
      </w:r>
    </w:p>
    <w:p w14:paraId="5026679F" w14:textId="77777777" w:rsidR="000F6C40" w:rsidRDefault="000F6C40" w:rsidP="000F6C4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zgodnie z SIN na GPW w Warszawie </w:t>
      </w:r>
    </w:p>
    <w:p w14:paraId="6C623047" w14:textId="77777777" w:rsidR="000F6C40" w:rsidRDefault="000F6C40" w:rsidP="000F6C4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D44563" w14:textId="77777777" w:rsidR="000F6C40" w:rsidRDefault="000F6C40" w:rsidP="000F6C40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876C66D" w14:textId="77777777" w:rsidR="000F6C40" w:rsidRDefault="000F6C40" w:rsidP="000F6C40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Streszczenie</w:t>
      </w:r>
    </w:p>
    <w:p w14:paraId="6FA706CE" w14:textId="77777777" w:rsidR="000F6C40" w:rsidRDefault="000F6C40" w:rsidP="000F6C4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A198A">
        <w:rPr>
          <w:rFonts w:ascii="Times New Roman" w:hAnsi="Times New Roman" w:cs="Times New Roman"/>
          <w:i/>
          <w:iCs/>
          <w:sz w:val="20"/>
          <w:szCs w:val="20"/>
        </w:rPr>
        <w:t>Cel:</w:t>
      </w:r>
      <w:r>
        <w:rPr>
          <w:rFonts w:ascii="Times New Roman" w:hAnsi="Times New Roman" w:cs="Times New Roman"/>
          <w:sz w:val="20"/>
          <w:szCs w:val="20"/>
        </w:rPr>
        <w:t xml:space="preserve"> W artykule przedstawiono wyniki badania, którego celem była odpowiedź na pytanie, czy spółki notowane na GPW w Warszawie, które deklarują, że sporządzają </w:t>
      </w:r>
      <w:r w:rsidRPr="00381865">
        <w:rPr>
          <w:rFonts w:ascii="Times New Roman" w:hAnsi="Times New Roman" w:cs="Times New Roman"/>
          <w:i/>
          <w:iCs/>
          <w:sz w:val="20"/>
          <w:szCs w:val="20"/>
        </w:rPr>
        <w:t>Oświadczenie (Sprawozdanie) na temat informacji niefinansowych</w:t>
      </w:r>
      <w:r>
        <w:rPr>
          <w:rFonts w:ascii="Times New Roman" w:hAnsi="Times New Roman" w:cs="Times New Roman"/>
          <w:sz w:val="20"/>
          <w:szCs w:val="20"/>
        </w:rPr>
        <w:t xml:space="preserve"> zgodnie z SIN, raportują informacje o ładzie korporacyjnym zgodnie z założeniami tego standardu, a jeżeli tak, to w jakim zakresie.</w:t>
      </w:r>
    </w:p>
    <w:p w14:paraId="75BD0A6A" w14:textId="77777777" w:rsidR="000F6C40" w:rsidRDefault="000F6C40" w:rsidP="000F6C4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A198A">
        <w:rPr>
          <w:rFonts w:ascii="Times New Roman" w:hAnsi="Times New Roman" w:cs="Times New Roman"/>
          <w:i/>
          <w:iCs/>
          <w:sz w:val="20"/>
          <w:szCs w:val="20"/>
        </w:rPr>
        <w:t>Metodyka badań</w:t>
      </w:r>
      <w:r>
        <w:rPr>
          <w:rFonts w:ascii="Times New Roman" w:hAnsi="Times New Roman" w:cs="Times New Roman"/>
          <w:sz w:val="20"/>
          <w:szCs w:val="20"/>
        </w:rPr>
        <w:t xml:space="preserve">: Badaniem objęto wszystkie spółki, które sporządzały raporty w latach 2017-2019, przy założeniu, że raport został sporządzony również w 2019, tj. 21 spółek i 59 raportów. Do realizacji celu wykorzystano metodę analizy treści, analizę porównawczą, opisową oraz metodę indukcji. </w:t>
      </w:r>
    </w:p>
    <w:p w14:paraId="70456ED4" w14:textId="77777777" w:rsidR="000F6C40" w:rsidRDefault="000F6C40" w:rsidP="000F6C4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A198A">
        <w:rPr>
          <w:rFonts w:ascii="Times New Roman" w:hAnsi="Times New Roman" w:cs="Times New Roman"/>
          <w:i/>
          <w:iCs/>
          <w:sz w:val="20"/>
          <w:szCs w:val="20"/>
        </w:rPr>
        <w:t>Wyniki badań</w:t>
      </w:r>
      <w:r>
        <w:rPr>
          <w:rFonts w:ascii="Times New Roman" w:hAnsi="Times New Roman" w:cs="Times New Roman"/>
          <w:sz w:val="20"/>
          <w:szCs w:val="20"/>
        </w:rPr>
        <w:t>: Z badania wynika, że teoria standardu SIN nie przekłada się na praktykę. Nie wszystkie spółki giełdowe wyodrębniają obszar zarządczy (14%). Tylko 43% spółek ujmuje Kluczowe Wskaźniki Wyników i tylko jedna spółka skorzystała z matrycy istotności.</w:t>
      </w:r>
    </w:p>
    <w:p w14:paraId="32B9B1A1" w14:textId="77777777" w:rsidR="000F6C40" w:rsidRDefault="000F6C40" w:rsidP="000F6C4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A198A">
        <w:rPr>
          <w:rFonts w:ascii="Times New Roman" w:hAnsi="Times New Roman" w:cs="Times New Roman"/>
          <w:i/>
          <w:iCs/>
          <w:sz w:val="20"/>
          <w:szCs w:val="20"/>
        </w:rPr>
        <w:t>Wnioski</w:t>
      </w:r>
      <w:r>
        <w:rPr>
          <w:rFonts w:ascii="Times New Roman" w:hAnsi="Times New Roman" w:cs="Times New Roman"/>
          <w:sz w:val="20"/>
          <w:szCs w:val="20"/>
        </w:rPr>
        <w:t xml:space="preserve">: Poważne zastrzeżenia dotyczą zawartości badanego obszaru. Tylko trzy </w:t>
      </w:r>
      <w:r w:rsidRPr="00275DBC">
        <w:rPr>
          <w:rFonts w:ascii="Times New Roman" w:hAnsi="Times New Roman" w:cs="Times New Roman"/>
          <w:i/>
          <w:iCs/>
          <w:sz w:val="20"/>
          <w:szCs w:val="20"/>
        </w:rPr>
        <w:t>Oświadczenia (Sprawozdania)</w:t>
      </w:r>
      <w:r>
        <w:rPr>
          <w:rFonts w:ascii="Times New Roman" w:hAnsi="Times New Roman" w:cs="Times New Roman"/>
          <w:sz w:val="20"/>
          <w:szCs w:val="20"/>
        </w:rPr>
        <w:t xml:space="preserve"> spełniają standardy SIN w takim zakresie, że można je uznać za użyteczne dla interesariuszy. Spółki nie rozumieją idei powiązania ładu korporacyjnego z aspektami niefinansowymi (społecznymi, środowiskowym).</w:t>
      </w:r>
    </w:p>
    <w:p w14:paraId="18E035A6" w14:textId="77777777" w:rsidR="000F6C40" w:rsidRPr="00EA198A" w:rsidRDefault="000F6C40" w:rsidP="000F6C4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A198A">
        <w:rPr>
          <w:rFonts w:ascii="Times New Roman" w:hAnsi="Times New Roman" w:cs="Times New Roman"/>
          <w:i/>
          <w:iCs/>
          <w:sz w:val="20"/>
          <w:szCs w:val="20"/>
        </w:rPr>
        <w:t>Wkład do dyscypliny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EA198A">
        <w:rPr>
          <w:rFonts w:ascii="Times New Roman" w:hAnsi="Times New Roman" w:cs="Times New Roman"/>
          <w:sz w:val="20"/>
          <w:szCs w:val="20"/>
        </w:rPr>
        <w:t>Badanie uzupełnia lukę badawczą w obszarze ujawniania informacji niefinansowych w raportach rocznych.</w:t>
      </w:r>
      <w:r w:rsidRPr="00106F8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 artykule wskazano kierunki dalszych badań.</w:t>
      </w:r>
    </w:p>
    <w:p w14:paraId="6C76D1B5" w14:textId="77777777" w:rsidR="000F6C40" w:rsidRDefault="000F6C40" w:rsidP="000F6C4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557F3A2" w14:textId="77777777" w:rsidR="000F6C40" w:rsidRDefault="000F6C40" w:rsidP="000F6C4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Słowa kluczowe:</w:t>
      </w:r>
      <w:r>
        <w:rPr>
          <w:rFonts w:ascii="Times New Roman" w:hAnsi="Times New Roman" w:cs="Times New Roman"/>
          <w:sz w:val="20"/>
          <w:szCs w:val="20"/>
        </w:rPr>
        <w:t xml:space="preserve"> ład korporacyjny, informacje niefinansowe, standard informacji niefinansowych</w:t>
      </w:r>
    </w:p>
    <w:p w14:paraId="3A2A5077" w14:textId="77777777" w:rsidR="000F6C40" w:rsidRPr="00EA198A" w:rsidRDefault="000F6C40" w:rsidP="000F6C40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A198A">
        <w:rPr>
          <w:rFonts w:ascii="Times New Roman" w:hAnsi="Times New Roman" w:cs="Times New Roman"/>
          <w:b/>
          <w:bCs/>
          <w:sz w:val="20"/>
          <w:szCs w:val="20"/>
        </w:rPr>
        <w:t>Klasyfikacja JEL: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2568F">
        <w:rPr>
          <w:rFonts w:ascii="Times New Roman" w:hAnsi="Times New Roman" w:cs="Times New Roman"/>
          <w:sz w:val="20"/>
          <w:szCs w:val="20"/>
        </w:rPr>
        <w:t>G1, M4</w:t>
      </w:r>
    </w:p>
    <w:p w14:paraId="6D8AD3F5" w14:textId="385AC1CE" w:rsidR="000F6C40" w:rsidRDefault="000F6C40"/>
    <w:p w14:paraId="33D83963" w14:textId="77777777" w:rsidR="000F6C40" w:rsidRPr="00241485" w:rsidRDefault="000F6C40" w:rsidP="000F6C40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241485">
        <w:rPr>
          <w:rFonts w:ascii="Times New Roman" w:hAnsi="Times New Roman" w:cs="Times New Roman"/>
          <w:b/>
          <w:bCs/>
          <w:sz w:val="20"/>
          <w:szCs w:val="20"/>
          <w:lang w:val="en-US"/>
        </w:rPr>
        <w:t>Abstract</w:t>
      </w:r>
    </w:p>
    <w:p w14:paraId="091E5094" w14:textId="77777777" w:rsidR="000F6C40" w:rsidRPr="00241485" w:rsidRDefault="000F6C40" w:rsidP="000F6C40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241485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Corporate governance reporting in accordance with SIN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at</w:t>
      </w:r>
      <w:r w:rsidRPr="00241485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the Warsaw Stock Exchange</w:t>
      </w:r>
    </w:p>
    <w:p w14:paraId="6B05E76C" w14:textId="77777777" w:rsidR="000F6C40" w:rsidRPr="00241485" w:rsidRDefault="000F6C40" w:rsidP="000F6C40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5C8C1A23" w14:textId="77777777" w:rsidR="000F6C40" w:rsidRDefault="000F6C40" w:rsidP="000F6C40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A198A">
        <w:rPr>
          <w:rFonts w:ascii="Times New Roman" w:hAnsi="Times New Roman" w:cs="Times New Roman"/>
          <w:i/>
          <w:iCs/>
          <w:sz w:val="20"/>
          <w:szCs w:val="20"/>
          <w:lang w:val="en-US"/>
        </w:rPr>
        <w:t>Objective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Pr="00141850"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>
        <w:rPr>
          <w:rFonts w:ascii="Times New Roman" w:hAnsi="Times New Roman" w:cs="Times New Roman"/>
          <w:sz w:val="20"/>
          <w:szCs w:val="20"/>
          <w:lang w:val="en-US"/>
        </w:rPr>
        <w:t>paper</w:t>
      </w:r>
      <w:r w:rsidRPr="00141850">
        <w:rPr>
          <w:rFonts w:ascii="Times New Roman" w:hAnsi="Times New Roman" w:cs="Times New Roman"/>
          <w:sz w:val="20"/>
          <w:szCs w:val="20"/>
          <w:lang w:val="en-US"/>
        </w:rPr>
        <w:t xml:space="preserve"> presents the results of the study, the purpose of which was to answer the question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whether the 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Non-Financial Statements (Reports), </w:t>
      </w:r>
      <w:r w:rsidRPr="00495318">
        <w:rPr>
          <w:rFonts w:ascii="Times New Roman" w:hAnsi="Times New Roman" w:cs="Times New Roman"/>
          <w:sz w:val="20"/>
          <w:szCs w:val="20"/>
          <w:lang w:val="en-US"/>
        </w:rPr>
        <w:t xml:space="preserve">which according to the declarations of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the listed companies </w:t>
      </w:r>
      <w:r w:rsidRPr="00141850">
        <w:rPr>
          <w:rFonts w:ascii="Times New Roman" w:hAnsi="Times New Roman" w:cs="Times New Roman"/>
          <w:sz w:val="20"/>
          <w:szCs w:val="20"/>
          <w:lang w:val="en-US"/>
        </w:rPr>
        <w:t>on the Warsaw Stock Exchange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are drafted in concordance with the SIN standard</w:t>
      </w:r>
      <w:r w:rsidRPr="00141850">
        <w:rPr>
          <w:rFonts w:ascii="Times New Roman" w:hAnsi="Times New Roman" w:cs="Times New Roman"/>
          <w:sz w:val="20"/>
          <w:szCs w:val="20"/>
          <w:lang w:val="en-US"/>
        </w:rPr>
        <w:t>, report information on corporate governance in accordance with the assumptions of this standard, and if so, to what extent.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05D38CF5" w14:textId="77777777" w:rsidR="000F6C40" w:rsidRDefault="000F6C40" w:rsidP="000F6C40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A198A">
        <w:rPr>
          <w:rFonts w:ascii="Times New Roman" w:hAnsi="Times New Roman" w:cs="Times New Roman"/>
          <w:i/>
          <w:iCs/>
          <w:sz w:val="20"/>
          <w:szCs w:val="20"/>
          <w:lang w:val="en-US"/>
        </w:rPr>
        <w:t>Research Design &amp; Methods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: The research covered all companies that prepared reports in 2017-2019, assuming that the report was also prepared in 2019,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i.e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21 listed companies and 59 reports. In order to carry out the goal, content analysis, descriptive and comparative analysis, as well as the induction method were employed</w:t>
      </w:r>
    </w:p>
    <w:p w14:paraId="1FD3371F" w14:textId="77777777" w:rsidR="000F6C40" w:rsidRDefault="000F6C40" w:rsidP="000F6C40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A198A">
        <w:rPr>
          <w:rFonts w:ascii="Times New Roman" w:hAnsi="Times New Roman" w:cs="Times New Roman"/>
          <w:i/>
          <w:iCs/>
          <w:sz w:val="20"/>
          <w:szCs w:val="20"/>
          <w:lang w:val="en-US"/>
        </w:rPr>
        <w:t>Findings</w:t>
      </w:r>
      <w:r>
        <w:rPr>
          <w:rFonts w:ascii="Times New Roman" w:hAnsi="Times New Roman" w:cs="Times New Roman"/>
          <w:sz w:val="20"/>
          <w:szCs w:val="20"/>
          <w:lang w:val="en-US"/>
        </w:rPr>
        <w:t>: The research shows that the theory of the SIN standards doesn’t translate into practice. Not all the listed companies have a separate management area (14%). Only 43% of companies include Key Performance Indicators and only one company used the materiality matrix.</w:t>
      </w:r>
    </w:p>
    <w:p w14:paraId="04F668DF" w14:textId="77777777" w:rsidR="000F6C40" w:rsidRDefault="000F6C40" w:rsidP="000F6C40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8485C">
        <w:rPr>
          <w:rFonts w:ascii="Times New Roman" w:hAnsi="Times New Roman" w:cs="Times New Roman"/>
          <w:i/>
          <w:iCs/>
          <w:sz w:val="20"/>
          <w:szCs w:val="20"/>
          <w:lang w:val="en-US"/>
        </w:rPr>
        <w:t>Implications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: Serious reservation concern to content of the studied area. Only tree 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Non-Financial Statements (Reports)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meet to the SIN standards to the extent that they can be considered useful for stakeholders. The companies don’t understand the idea of linking corporate governance with non-financial (social, environmental) aspects.</w:t>
      </w:r>
    </w:p>
    <w:p w14:paraId="7C21E6DC" w14:textId="77777777" w:rsidR="000F6C40" w:rsidRDefault="000F6C40" w:rsidP="000F6C40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Contribution: The research completes the research gap in the area of disclosing non-financial information in annul report.</w:t>
      </w:r>
    </w:p>
    <w:p w14:paraId="3BA27A70" w14:textId="77777777" w:rsidR="000F6C40" w:rsidRPr="00241485" w:rsidRDefault="000F6C40" w:rsidP="000F6C40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633FDF8B" w14:textId="77777777" w:rsidR="000F6C40" w:rsidRPr="00241485" w:rsidRDefault="000F6C40" w:rsidP="000F6C40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41485">
        <w:rPr>
          <w:rFonts w:ascii="Times New Roman" w:hAnsi="Times New Roman" w:cs="Times New Roman"/>
          <w:b/>
          <w:bCs/>
          <w:sz w:val="20"/>
          <w:szCs w:val="20"/>
          <w:lang w:val="en-US"/>
        </w:rPr>
        <w:t>Keywords:</w:t>
      </w:r>
      <w:r w:rsidRPr="00241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41485">
        <w:rPr>
          <w:rFonts w:ascii="Times New Roman" w:hAnsi="Times New Roman" w:cs="Times New Roman"/>
          <w:sz w:val="20"/>
          <w:szCs w:val="20"/>
          <w:shd w:val="clear" w:color="auto" w:fill="F5F5F5"/>
          <w:lang w:val="en-US"/>
        </w:rPr>
        <w:t>corporate governance, non-financial information, non-financial information standard</w:t>
      </w:r>
    </w:p>
    <w:p w14:paraId="0CC9C6B1" w14:textId="77777777" w:rsidR="000F6C40" w:rsidRPr="000F6C40" w:rsidRDefault="000F6C40">
      <w:pPr>
        <w:rPr>
          <w:lang w:val="en-US"/>
        </w:rPr>
      </w:pPr>
    </w:p>
    <w:sectPr w:rsidR="000F6C40" w:rsidRPr="000F6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80398" w14:textId="77777777" w:rsidR="00291F9B" w:rsidRDefault="00291F9B" w:rsidP="000F6C40">
      <w:pPr>
        <w:spacing w:after="0" w:line="240" w:lineRule="auto"/>
      </w:pPr>
      <w:r>
        <w:separator/>
      </w:r>
    </w:p>
  </w:endnote>
  <w:endnote w:type="continuationSeparator" w:id="0">
    <w:p w14:paraId="17F4C8F0" w14:textId="77777777" w:rsidR="00291F9B" w:rsidRDefault="00291F9B" w:rsidP="000F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822FA9" w14:textId="77777777" w:rsidR="00291F9B" w:rsidRDefault="00291F9B" w:rsidP="000F6C40">
      <w:pPr>
        <w:spacing w:after="0" w:line="240" w:lineRule="auto"/>
      </w:pPr>
      <w:r>
        <w:separator/>
      </w:r>
    </w:p>
  </w:footnote>
  <w:footnote w:type="continuationSeparator" w:id="0">
    <w:p w14:paraId="1A6173F1" w14:textId="77777777" w:rsidR="00291F9B" w:rsidRDefault="00291F9B" w:rsidP="000F6C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C40"/>
    <w:rsid w:val="000F6C40"/>
    <w:rsid w:val="00291F9B"/>
    <w:rsid w:val="0077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0FB7E"/>
  <w15:chartTrackingRefBased/>
  <w15:docId w15:val="{B98435B4-76BC-4CAD-9FF3-E813A852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C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6C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6C4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6C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2787</Characters>
  <Application>Microsoft Office Word</Application>
  <DocSecurity>0</DocSecurity>
  <Lines>103</Lines>
  <Paragraphs>77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Błażyńska</dc:creator>
  <cp:keywords/>
  <dc:description/>
  <cp:lastModifiedBy>Joanna Błażyńska</cp:lastModifiedBy>
  <cp:revision>2</cp:revision>
  <dcterms:created xsi:type="dcterms:W3CDTF">2020-09-28T17:43:00Z</dcterms:created>
  <dcterms:modified xsi:type="dcterms:W3CDTF">2020-09-28T17:44:00Z</dcterms:modified>
</cp:coreProperties>
</file>