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2ECB4" w14:textId="77777777" w:rsidR="001655BB" w:rsidRPr="004625A2" w:rsidRDefault="001655BB" w:rsidP="005D38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25A2">
        <w:rPr>
          <w:rFonts w:ascii="Times New Roman" w:hAnsi="Times New Roman" w:cs="Times New Roman"/>
          <w:b/>
          <w:bCs/>
          <w:sz w:val="28"/>
          <w:szCs w:val="28"/>
        </w:rPr>
        <w:t xml:space="preserve">Wpływ </w:t>
      </w:r>
      <w:r w:rsidR="00270368" w:rsidRPr="004625A2">
        <w:rPr>
          <w:rFonts w:ascii="Times New Roman" w:hAnsi="Times New Roman" w:cs="Times New Roman"/>
          <w:b/>
          <w:bCs/>
          <w:sz w:val="28"/>
          <w:szCs w:val="28"/>
        </w:rPr>
        <w:t>wprowadzenia MSB w Polsce</w:t>
      </w:r>
      <w:r w:rsidR="00EE3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5B1" w:rsidRPr="004625A2">
        <w:rPr>
          <w:rFonts w:ascii="Times New Roman" w:hAnsi="Times New Roman" w:cs="Times New Roman"/>
          <w:b/>
          <w:bCs/>
          <w:sz w:val="28"/>
          <w:szCs w:val="28"/>
        </w:rPr>
        <w:t>na małe i średnie firmy audytorskie</w:t>
      </w:r>
    </w:p>
    <w:p w14:paraId="43EF8D0F" w14:textId="77777777" w:rsidR="000D0FAD" w:rsidRPr="004625A2" w:rsidRDefault="000D0FAD" w:rsidP="000D0F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25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Joanna </w:t>
      </w:r>
      <w:proofErr w:type="spellStart"/>
      <w:r w:rsidRPr="004625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Wielgórska</w:t>
      </w:r>
      <w:proofErr w:type="spellEnd"/>
      <w:r w:rsidRPr="004625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-Leszczyńska*</w:t>
      </w:r>
      <w:r w:rsidR="00831B85">
        <w:rPr>
          <w:rStyle w:val="Odwoanieprzypisudolnego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  <w:r w:rsidRPr="004625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Justyna Beata Zakrzewska**</w:t>
      </w:r>
    </w:p>
    <w:p w14:paraId="58033FDB" w14:textId="77777777" w:rsidR="000D0FAD" w:rsidRPr="005D3862" w:rsidRDefault="000D0FAD" w:rsidP="005D38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5925F" w14:textId="77777777" w:rsidR="005D2015" w:rsidRPr="005D2015" w:rsidRDefault="005D2015" w:rsidP="005D20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D09DF" w14:textId="77777777" w:rsidR="005D3862" w:rsidRDefault="005D2015" w:rsidP="005D201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A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Słowa kluczowe</w:t>
      </w:r>
      <w:r w:rsidRPr="00444A16">
        <w:rPr>
          <w:rFonts w:ascii="Times New Roman" w:hAnsi="Times New Roman" w:cs="Times New Roman"/>
          <w:color w:val="000000"/>
          <w:sz w:val="24"/>
          <w:szCs w:val="24"/>
        </w:rPr>
        <w:t xml:space="preserve">: audyt, firma audytorska, </w:t>
      </w:r>
      <w:r w:rsidR="00444A16">
        <w:rPr>
          <w:rFonts w:ascii="Times New Roman" w:hAnsi="Times New Roman" w:cs="Times New Roman"/>
          <w:color w:val="000000"/>
          <w:sz w:val="24"/>
          <w:szCs w:val="24"/>
        </w:rPr>
        <w:t xml:space="preserve">rewizja finansowa, </w:t>
      </w:r>
      <w:r w:rsidRPr="00444A16">
        <w:rPr>
          <w:rFonts w:ascii="Times New Roman" w:hAnsi="Times New Roman" w:cs="Times New Roman"/>
          <w:color w:val="000000"/>
          <w:sz w:val="24"/>
          <w:szCs w:val="24"/>
        </w:rPr>
        <w:t>Międzynarodow</w:t>
      </w:r>
      <w:r w:rsidR="00444A16">
        <w:rPr>
          <w:rFonts w:ascii="Times New Roman" w:hAnsi="Times New Roman" w:cs="Times New Roman"/>
          <w:color w:val="000000"/>
          <w:sz w:val="24"/>
          <w:szCs w:val="24"/>
        </w:rPr>
        <w:t xml:space="preserve">e Standardy Badania, </w:t>
      </w:r>
      <w:r w:rsidRPr="00444A16">
        <w:rPr>
          <w:rFonts w:ascii="Times New Roman" w:hAnsi="Times New Roman" w:cs="Times New Roman"/>
          <w:color w:val="000000"/>
          <w:sz w:val="24"/>
          <w:szCs w:val="24"/>
        </w:rPr>
        <w:t>, Międzynarodowe Standardy Rewizji Finansowej i Usług Atestacyjnych</w:t>
      </w:r>
      <w:r w:rsidR="00444A16">
        <w:rPr>
          <w:rFonts w:ascii="Times New Roman" w:hAnsi="Times New Roman" w:cs="Times New Roman"/>
          <w:color w:val="000000"/>
          <w:sz w:val="24"/>
          <w:szCs w:val="24"/>
        </w:rPr>
        <w:t>, KSB, MSB, rynek audytu.</w:t>
      </w:r>
    </w:p>
    <w:p w14:paraId="4630952A" w14:textId="77777777" w:rsidR="00444A16" w:rsidRPr="00444A16" w:rsidRDefault="00444A16" w:rsidP="005D201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74E57" w14:textId="77777777" w:rsidR="005D3862" w:rsidRPr="00EE35B1" w:rsidRDefault="004625A2" w:rsidP="00EE35B1">
      <w:pPr>
        <w:pStyle w:val="Akapitzlist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r w:rsidRPr="00EE35B1">
        <w:rPr>
          <w:b/>
          <w:bCs/>
          <w:sz w:val="24"/>
          <w:szCs w:val="24"/>
        </w:rPr>
        <w:t>Wstęp</w:t>
      </w:r>
    </w:p>
    <w:p w14:paraId="6EE53087" w14:textId="77777777" w:rsidR="003F2F1E" w:rsidRDefault="0039117F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Globalny k</w:t>
      </w:r>
      <w:r w:rsidR="008523AF" w:rsidRPr="0039117F">
        <w:rPr>
          <w:rFonts w:ascii="Times New Roman" w:hAnsi="Times New Roman" w:cs="Times New Roman"/>
          <w:sz w:val="24"/>
          <w:szCs w:val="24"/>
        </w:rPr>
        <w:t xml:space="preserve">ryzys </w:t>
      </w:r>
      <w:r w:rsidRPr="0039117F">
        <w:rPr>
          <w:rFonts w:ascii="Times New Roman" w:hAnsi="Times New Roman" w:cs="Times New Roman"/>
          <w:sz w:val="24"/>
          <w:szCs w:val="24"/>
        </w:rPr>
        <w:t xml:space="preserve">finansowy </w:t>
      </w:r>
      <w:r>
        <w:rPr>
          <w:rFonts w:ascii="Times New Roman" w:hAnsi="Times New Roman" w:cs="Times New Roman"/>
          <w:sz w:val="24"/>
          <w:szCs w:val="24"/>
        </w:rPr>
        <w:t xml:space="preserve">mający miejsce </w:t>
      </w:r>
      <w:r w:rsidRPr="0039117F">
        <w:rPr>
          <w:rFonts w:ascii="Times New Roman" w:hAnsi="Times New Roman" w:cs="Times New Roman"/>
          <w:sz w:val="24"/>
          <w:szCs w:val="24"/>
        </w:rPr>
        <w:t xml:space="preserve">od połowy 2007 roku do połowy 2009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117F">
        <w:rPr>
          <w:rFonts w:ascii="Times New Roman" w:hAnsi="Times New Roman" w:cs="Times New Roman"/>
          <w:sz w:val="24"/>
          <w:szCs w:val="24"/>
        </w:rPr>
        <w:t xml:space="preserve">rzyczynił się </w:t>
      </w:r>
      <w:r w:rsidR="006900EF">
        <w:rPr>
          <w:rFonts w:ascii="Times New Roman" w:hAnsi="Times New Roman" w:cs="Times New Roman"/>
          <w:sz w:val="24"/>
          <w:szCs w:val="24"/>
        </w:rPr>
        <w:t xml:space="preserve">do </w:t>
      </w:r>
      <w:r w:rsidRPr="0039117F">
        <w:rPr>
          <w:rFonts w:ascii="Times New Roman" w:hAnsi="Times New Roman" w:cs="Times New Roman"/>
          <w:sz w:val="24"/>
          <w:szCs w:val="24"/>
        </w:rPr>
        <w:t>dużych zawirowań na giełdach papierów wartościowych</w:t>
      </w:r>
      <w:r w:rsidR="006900EF">
        <w:rPr>
          <w:rFonts w:ascii="Times New Roman" w:hAnsi="Times New Roman" w:cs="Times New Roman"/>
          <w:sz w:val="24"/>
          <w:szCs w:val="24"/>
        </w:rPr>
        <w:t>,</w:t>
      </w:r>
      <w:r w:rsidR="00CC2E61">
        <w:rPr>
          <w:rFonts w:ascii="Times New Roman" w:hAnsi="Times New Roman" w:cs="Times New Roman"/>
          <w:sz w:val="24"/>
          <w:szCs w:val="24"/>
        </w:rPr>
        <w:t xml:space="preserve"> ujawniając jednocześnie </w:t>
      </w:r>
      <w:r w:rsidR="004625A2">
        <w:rPr>
          <w:rFonts w:ascii="Times New Roman" w:hAnsi="Times New Roman" w:cs="Times New Roman"/>
          <w:sz w:val="24"/>
          <w:szCs w:val="24"/>
        </w:rPr>
        <w:t>braki</w:t>
      </w:r>
      <w:r w:rsidR="00CC2E61">
        <w:rPr>
          <w:rFonts w:ascii="Times New Roman" w:hAnsi="Times New Roman" w:cs="Times New Roman"/>
          <w:sz w:val="24"/>
          <w:szCs w:val="24"/>
        </w:rPr>
        <w:t xml:space="preserve"> w </w:t>
      </w:r>
      <w:r w:rsidR="004625A2">
        <w:rPr>
          <w:rFonts w:ascii="Times New Roman" w:hAnsi="Times New Roman" w:cs="Times New Roman"/>
          <w:sz w:val="24"/>
          <w:szCs w:val="24"/>
        </w:rPr>
        <w:t xml:space="preserve">rzetelności </w:t>
      </w:r>
      <w:r w:rsidR="00CC2E61">
        <w:rPr>
          <w:rFonts w:ascii="Times New Roman" w:hAnsi="Times New Roman" w:cs="Times New Roman"/>
          <w:sz w:val="24"/>
          <w:szCs w:val="24"/>
        </w:rPr>
        <w:t xml:space="preserve"> </w:t>
      </w:r>
      <w:r w:rsidR="006900EF">
        <w:rPr>
          <w:rFonts w:ascii="Times New Roman" w:hAnsi="Times New Roman" w:cs="Times New Roman"/>
          <w:sz w:val="24"/>
          <w:szCs w:val="24"/>
        </w:rPr>
        <w:t xml:space="preserve">prezentowanych </w:t>
      </w:r>
      <w:r w:rsidR="004625A2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CC2E61">
        <w:rPr>
          <w:rFonts w:ascii="Times New Roman" w:hAnsi="Times New Roman" w:cs="Times New Roman"/>
          <w:sz w:val="24"/>
          <w:szCs w:val="24"/>
        </w:rPr>
        <w:t>w sprawozdaniach finansowych</w:t>
      </w:r>
      <w:r w:rsidR="004625A2">
        <w:rPr>
          <w:rFonts w:ascii="Times New Roman" w:hAnsi="Times New Roman" w:cs="Times New Roman"/>
          <w:sz w:val="24"/>
          <w:szCs w:val="24"/>
        </w:rPr>
        <w:t xml:space="preserve"> (Piekarska, 2008</w:t>
      </w:r>
      <w:r w:rsidR="001C17A9">
        <w:rPr>
          <w:rFonts w:ascii="Times New Roman" w:hAnsi="Times New Roman" w:cs="Times New Roman"/>
          <w:sz w:val="24"/>
          <w:szCs w:val="24"/>
        </w:rPr>
        <w:t>, s. 3</w:t>
      </w:r>
      <w:r w:rsidR="004625A2">
        <w:rPr>
          <w:rFonts w:ascii="Times New Roman" w:hAnsi="Times New Roman" w:cs="Times New Roman"/>
          <w:sz w:val="24"/>
          <w:szCs w:val="24"/>
        </w:rPr>
        <w:t>)</w:t>
      </w:r>
      <w:r w:rsidR="000D314C">
        <w:rPr>
          <w:rFonts w:ascii="Times New Roman" w:hAnsi="Times New Roman" w:cs="Times New Roman"/>
          <w:sz w:val="24"/>
          <w:szCs w:val="24"/>
        </w:rPr>
        <w:t>.</w:t>
      </w:r>
    </w:p>
    <w:p w14:paraId="69838B79" w14:textId="77777777" w:rsidR="00F7124D" w:rsidRDefault="00FD5C8E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D314C">
        <w:rPr>
          <w:rFonts w:ascii="Times New Roman" w:hAnsi="Times New Roman" w:cs="Times New Roman"/>
          <w:sz w:val="24"/>
          <w:szCs w:val="24"/>
        </w:rPr>
        <w:t>egatywne dla gospodarek światowych skutki kryzysu finansowego doprowadziły do podjęcia przez regulatorów wielu działań</w:t>
      </w:r>
      <w:r w:rsidR="00662C66">
        <w:rPr>
          <w:rFonts w:ascii="Times New Roman" w:hAnsi="Times New Roman" w:cs="Times New Roman"/>
          <w:sz w:val="24"/>
          <w:szCs w:val="24"/>
        </w:rPr>
        <w:t>,</w:t>
      </w:r>
      <w:r w:rsidR="000D314C">
        <w:rPr>
          <w:rFonts w:ascii="Times New Roman" w:hAnsi="Times New Roman" w:cs="Times New Roman"/>
          <w:sz w:val="24"/>
          <w:szCs w:val="24"/>
        </w:rPr>
        <w:t xml:space="preserve"> mających na celu poprawę jakości audytu</w:t>
      </w:r>
      <w:r w:rsidR="00662C66">
        <w:rPr>
          <w:rFonts w:ascii="Times New Roman" w:hAnsi="Times New Roman" w:cs="Times New Roman"/>
          <w:sz w:val="24"/>
          <w:szCs w:val="24"/>
        </w:rPr>
        <w:t>,</w:t>
      </w:r>
      <w:r w:rsidR="000D314C">
        <w:rPr>
          <w:rFonts w:ascii="Times New Roman" w:hAnsi="Times New Roman" w:cs="Times New Roman"/>
          <w:sz w:val="24"/>
          <w:szCs w:val="24"/>
        </w:rPr>
        <w:t xml:space="preserve"> a tym samym poprawę jakości informacji </w:t>
      </w:r>
      <w:r w:rsidR="00662C66">
        <w:rPr>
          <w:rFonts w:ascii="Times New Roman" w:hAnsi="Times New Roman" w:cs="Times New Roman"/>
          <w:sz w:val="24"/>
          <w:szCs w:val="24"/>
        </w:rPr>
        <w:t xml:space="preserve">ujawnianych </w:t>
      </w:r>
      <w:r w:rsidR="000D314C">
        <w:rPr>
          <w:rFonts w:ascii="Times New Roman" w:hAnsi="Times New Roman" w:cs="Times New Roman"/>
          <w:sz w:val="24"/>
          <w:szCs w:val="24"/>
        </w:rPr>
        <w:t>w sprawozdaniach finansowych podmiotów gospodarczych</w:t>
      </w:r>
      <w:r w:rsidR="00587E97">
        <w:rPr>
          <w:rFonts w:ascii="Times New Roman" w:hAnsi="Times New Roman" w:cs="Times New Roman"/>
          <w:sz w:val="24"/>
          <w:szCs w:val="24"/>
        </w:rPr>
        <w:t xml:space="preserve"> (Kogut, 2017)</w:t>
      </w:r>
      <w:r w:rsidR="000D314C">
        <w:rPr>
          <w:rFonts w:ascii="Times New Roman" w:hAnsi="Times New Roman" w:cs="Times New Roman"/>
          <w:sz w:val="24"/>
          <w:szCs w:val="24"/>
        </w:rPr>
        <w:t>.</w:t>
      </w:r>
      <w:r w:rsidR="003F2F1E">
        <w:rPr>
          <w:rFonts w:ascii="Times New Roman" w:hAnsi="Times New Roman" w:cs="Times New Roman"/>
          <w:sz w:val="24"/>
          <w:szCs w:val="24"/>
        </w:rPr>
        <w:t xml:space="preserve"> W 2010 r</w:t>
      </w:r>
      <w:r w:rsidR="00662C66">
        <w:rPr>
          <w:rFonts w:ascii="Times New Roman" w:hAnsi="Times New Roman" w:cs="Times New Roman"/>
          <w:sz w:val="24"/>
          <w:szCs w:val="24"/>
        </w:rPr>
        <w:t>.</w:t>
      </w:r>
      <w:r w:rsidR="003F2F1E">
        <w:rPr>
          <w:rFonts w:ascii="Times New Roman" w:hAnsi="Times New Roman" w:cs="Times New Roman"/>
          <w:sz w:val="24"/>
          <w:szCs w:val="24"/>
        </w:rPr>
        <w:t xml:space="preserve"> Komisja Europejska, posiadająca inicjatywę legislacyjną w Unii Europejskiej i dysponująca odpowiednimi narzędziami do </w:t>
      </w:r>
      <w:r w:rsidR="003F2F1E" w:rsidRPr="003F2F1E">
        <w:rPr>
          <w:rFonts w:ascii="Times New Roman" w:hAnsi="Times New Roman" w:cs="Times New Roman"/>
          <w:sz w:val="24"/>
          <w:szCs w:val="24"/>
        </w:rPr>
        <w:t xml:space="preserve">przygotowywania projektów regulacji prawnych UE, </w:t>
      </w:r>
      <w:r w:rsidR="00BC086A">
        <w:rPr>
          <w:rFonts w:ascii="Times New Roman" w:hAnsi="Times New Roman" w:cs="Times New Roman"/>
          <w:sz w:val="24"/>
          <w:szCs w:val="24"/>
        </w:rPr>
        <w:t xml:space="preserve">sprawująca </w:t>
      </w:r>
      <w:r w:rsidR="003F2F1E" w:rsidRPr="003F2F1E">
        <w:rPr>
          <w:rFonts w:ascii="Times New Roman" w:hAnsi="Times New Roman" w:cs="Times New Roman"/>
          <w:sz w:val="24"/>
          <w:szCs w:val="24"/>
        </w:rPr>
        <w:t>nadzór nad realizacją polityk Unii i przestrzeganiem obowiązujących przepisów prawa</w:t>
      </w:r>
      <w:r w:rsidR="00662C66">
        <w:rPr>
          <w:rFonts w:ascii="Times New Roman" w:hAnsi="Times New Roman" w:cs="Times New Roman"/>
          <w:sz w:val="24"/>
          <w:szCs w:val="24"/>
        </w:rPr>
        <w:t>,</w:t>
      </w:r>
      <w:r w:rsidR="003F2F1E" w:rsidRPr="003F2F1E">
        <w:rPr>
          <w:rFonts w:ascii="Times New Roman" w:hAnsi="Times New Roman" w:cs="Times New Roman"/>
          <w:sz w:val="24"/>
          <w:szCs w:val="24"/>
        </w:rPr>
        <w:t xml:space="preserve"> </w:t>
      </w:r>
      <w:r w:rsidR="00662C66">
        <w:rPr>
          <w:rFonts w:ascii="Times New Roman" w:hAnsi="Times New Roman" w:cs="Times New Roman"/>
          <w:sz w:val="24"/>
          <w:szCs w:val="24"/>
        </w:rPr>
        <w:t>reprezentująca</w:t>
      </w:r>
      <w:r w:rsidR="003F2F1E" w:rsidRPr="003F2F1E">
        <w:rPr>
          <w:rFonts w:ascii="Times New Roman" w:hAnsi="Times New Roman" w:cs="Times New Roman"/>
          <w:sz w:val="24"/>
          <w:szCs w:val="24"/>
        </w:rPr>
        <w:t xml:space="preserve"> Uni</w:t>
      </w:r>
      <w:r w:rsidR="00662C66">
        <w:rPr>
          <w:rFonts w:ascii="Times New Roman" w:hAnsi="Times New Roman" w:cs="Times New Roman"/>
          <w:sz w:val="24"/>
          <w:szCs w:val="24"/>
        </w:rPr>
        <w:t>ę</w:t>
      </w:r>
      <w:r w:rsidR="003F2F1E" w:rsidRPr="003F2F1E">
        <w:rPr>
          <w:rFonts w:ascii="Times New Roman" w:hAnsi="Times New Roman" w:cs="Times New Roman"/>
          <w:sz w:val="24"/>
          <w:szCs w:val="24"/>
        </w:rPr>
        <w:t xml:space="preserve"> Europejsk</w:t>
      </w:r>
      <w:r w:rsidR="00662C66">
        <w:rPr>
          <w:rFonts w:ascii="Times New Roman" w:hAnsi="Times New Roman" w:cs="Times New Roman"/>
          <w:sz w:val="24"/>
          <w:szCs w:val="24"/>
        </w:rPr>
        <w:t>ą</w:t>
      </w:r>
      <w:r w:rsidR="003F2F1E" w:rsidRPr="003F2F1E">
        <w:rPr>
          <w:rFonts w:ascii="Times New Roman" w:hAnsi="Times New Roman" w:cs="Times New Roman"/>
          <w:sz w:val="24"/>
          <w:szCs w:val="24"/>
        </w:rPr>
        <w:t xml:space="preserve"> na arenie międzynarodowej</w:t>
      </w:r>
      <w:r w:rsidR="003F2F1E">
        <w:rPr>
          <w:rFonts w:ascii="Times New Roman" w:hAnsi="Times New Roman" w:cs="Times New Roman"/>
          <w:sz w:val="24"/>
          <w:szCs w:val="24"/>
        </w:rPr>
        <w:t xml:space="preserve"> opublikowała </w:t>
      </w:r>
      <w:r w:rsidR="00BC086A">
        <w:rPr>
          <w:rFonts w:ascii="Times New Roman" w:hAnsi="Times New Roman" w:cs="Times New Roman"/>
          <w:sz w:val="24"/>
          <w:szCs w:val="24"/>
        </w:rPr>
        <w:t>Zieloną Księgę</w:t>
      </w:r>
      <w:r w:rsidR="004E6DED">
        <w:rPr>
          <w:rFonts w:ascii="Times New Roman" w:hAnsi="Times New Roman" w:cs="Times New Roman"/>
          <w:sz w:val="24"/>
          <w:szCs w:val="24"/>
        </w:rPr>
        <w:t xml:space="preserve"> (</w:t>
      </w:r>
      <w:r w:rsidR="001C17A9">
        <w:rPr>
          <w:rFonts w:ascii="Times New Roman" w:hAnsi="Times New Roman" w:cs="Times New Roman"/>
          <w:sz w:val="24"/>
          <w:szCs w:val="24"/>
        </w:rPr>
        <w:t>K</w:t>
      </w:r>
      <w:r w:rsidR="004E6DED">
        <w:rPr>
          <w:rFonts w:ascii="Times New Roman" w:hAnsi="Times New Roman" w:cs="Times New Roman"/>
          <w:sz w:val="24"/>
          <w:szCs w:val="24"/>
        </w:rPr>
        <w:t>omisja Europejska, 2010</w:t>
      </w:r>
      <w:r w:rsidR="001C17A9">
        <w:rPr>
          <w:rFonts w:ascii="Times New Roman" w:hAnsi="Times New Roman" w:cs="Times New Roman"/>
          <w:sz w:val="24"/>
          <w:szCs w:val="24"/>
        </w:rPr>
        <w:t>, s. 5</w:t>
      </w:r>
      <w:r w:rsidR="004E6DED">
        <w:rPr>
          <w:rFonts w:ascii="Times New Roman" w:hAnsi="Times New Roman" w:cs="Times New Roman"/>
          <w:sz w:val="24"/>
          <w:szCs w:val="24"/>
        </w:rPr>
        <w:t>)</w:t>
      </w:r>
      <w:r w:rsidR="00BC086A">
        <w:rPr>
          <w:rFonts w:ascii="Times New Roman" w:hAnsi="Times New Roman" w:cs="Times New Roman"/>
          <w:sz w:val="24"/>
          <w:szCs w:val="24"/>
        </w:rPr>
        <w:t xml:space="preserve"> </w:t>
      </w:r>
      <w:r w:rsidR="00B4493B" w:rsidRPr="00654E7F">
        <w:rPr>
          <w:rFonts w:ascii="Times New Roman" w:hAnsi="Times New Roman" w:cs="Times New Roman"/>
          <w:sz w:val="24"/>
          <w:szCs w:val="24"/>
        </w:rPr>
        <w:t xml:space="preserve">W dokumencie </w:t>
      </w:r>
      <w:r w:rsidR="00F7124D">
        <w:rPr>
          <w:rFonts w:ascii="Times New Roman" w:hAnsi="Times New Roman" w:cs="Times New Roman"/>
          <w:sz w:val="24"/>
          <w:szCs w:val="24"/>
        </w:rPr>
        <w:t>tym przedstawiono</w:t>
      </w:r>
      <w:r w:rsidR="00455F33">
        <w:rPr>
          <w:rFonts w:ascii="Times New Roman" w:hAnsi="Times New Roman" w:cs="Times New Roman"/>
          <w:sz w:val="24"/>
          <w:szCs w:val="24"/>
        </w:rPr>
        <w:t xml:space="preserve"> </w:t>
      </w:r>
      <w:r w:rsidR="00455F33" w:rsidRPr="00662C66">
        <w:rPr>
          <w:rFonts w:ascii="Times New Roman" w:hAnsi="Times New Roman" w:cs="Times New Roman"/>
          <w:sz w:val="24"/>
          <w:szCs w:val="24"/>
        </w:rPr>
        <w:t xml:space="preserve">ogólne założenia oraz propozycje zmiany </w:t>
      </w:r>
      <w:r w:rsidR="00741D09" w:rsidRPr="00654E7F">
        <w:rPr>
          <w:rFonts w:ascii="Times New Roman" w:hAnsi="Times New Roman" w:cs="Times New Roman"/>
          <w:sz w:val="24"/>
          <w:szCs w:val="24"/>
        </w:rPr>
        <w:t>roli biegłego rewidenta w atestacji informacji finansowej</w:t>
      </w:r>
      <w:r w:rsidR="00F7124D">
        <w:rPr>
          <w:rFonts w:ascii="Times New Roman" w:hAnsi="Times New Roman" w:cs="Times New Roman"/>
          <w:sz w:val="24"/>
          <w:szCs w:val="24"/>
        </w:rPr>
        <w:t>. Najistotniejsze zmiany dotyczyły:</w:t>
      </w:r>
    </w:p>
    <w:p w14:paraId="768A9877" w14:textId="77777777" w:rsidR="00F7124D" w:rsidRDefault="00654E7F" w:rsidP="00F7124D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7124D">
        <w:rPr>
          <w:sz w:val="24"/>
          <w:szCs w:val="24"/>
        </w:rPr>
        <w:t>uzyskani</w:t>
      </w:r>
      <w:r w:rsidR="00F7124D" w:rsidRPr="00F7124D">
        <w:rPr>
          <w:sz w:val="24"/>
          <w:szCs w:val="24"/>
        </w:rPr>
        <w:t>a</w:t>
      </w:r>
      <w:r w:rsidRPr="00F7124D">
        <w:rPr>
          <w:sz w:val="24"/>
          <w:szCs w:val="24"/>
        </w:rPr>
        <w:t xml:space="preserve"> </w:t>
      </w:r>
      <w:r w:rsidR="00472FC2">
        <w:rPr>
          <w:sz w:val="24"/>
          <w:szCs w:val="24"/>
        </w:rPr>
        <w:t>przez biegłego rewidenta</w:t>
      </w:r>
      <w:r w:rsidR="00472FC2" w:rsidRPr="00F7124D">
        <w:rPr>
          <w:sz w:val="24"/>
          <w:szCs w:val="24"/>
        </w:rPr>
        <w:t xml:space="preserve"> </w:t>
      </w:r>
      <w:r w:rsidRPr="00F7124D">
        <w:rPr>
          <w:sz w:val="24"/>
          <w:szCs w:val="24"/>
        </w:rPr>
        <w:t>wystarczającej</w:t>
      </w:r>
      <w:r w:rsidR="00472FC2">
        <w:rPr>
          <w:sz w:val="24"/>
          <w:szCs w:val="24"/>
        </w:rPr>
        <w:t>,</w:t>
      </w:r>
      <w:r w:rsidRPr="00F7124D">
        <w:rPr>
          <w:sz w:val="24"/>
          <w:szCs w:val="24"/>
        </w:rPr>
        <w:t xml:space="preserve"> a nie absolutnej pewności, że sprawozdanie finansowe daje rzetelny i jasny obraz jednostki,</w:t>
      </w:r>
    </w:p>
    <w:p w14:paraId="3E080292" w14:textId="77777777" w:rsidR="00472FC2" w:rsidRDefault="00654E7F" w:rsidP="00F7124D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7124D">
        <w:rPr>
          <w:sz w:val="24"/>
          <w:szCs w:val="24"/>
        </w:rPr>
        <w:t xml:space="preserve">komunikacji biegłych rewidentów ze stronami zainteresowanymi poprzez jasne zdefiniowanie, jakie informacje </w:t>
      </w:r>
      <w:r w:rsidR="00F7124D" w:rsidRPr="00F7124D">
        <w:rPr>
          <w:sz w:val="24"/>
          <w:szCs w:val="24"/>
        </w:rPr>
        <w:t xml:space="preserve">i ustalenia </w:t>
      </w:r>
      <w:r w:rsidRPr="00F7124D">
        <w:rPr>
          <w:sz w:val="24"/>
          <w:szCs w:val="24"/>
        </w:rPr>
        <w:t xml:space="preserve">biegły rewident powinien przedstawiać stronom zainteresowanym w ramach swojej opinii, </w:t>
      </w:r>
    </w:p>
    <w:p w14:paraId="54575FE6" w14:textId="77777777" w:rsidR="00472FC2" w:rsidRDefault="00654E7F" w:rsidP="00F7124D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7124D">
        <w:rPr>
          <w:sz w:val="24"/>
          <w:szCs w:val="24"/>
        </w:rPr>
        <w:t>nadzoru nad firmami audytorskimi, koncentracji rynku audytu, uproszczeń dla małych i średnich przedsiębiorstw (MSP) i firm audytorskich</w:t>
      </w:r>
      <w:r w:rsidR="001C17A9">
        <w:rPr>
          <w:sz w:val="24"/>
          <w:szCs w:val="24"/>
        </w:rPr>
        <w:t xml:space="preserve"> (Komisja Europejska, 2010, s. 6-9)</w:t>
      </w:r>
      <w:r w:rsidRPr="00F7124D">
        <w:rPr>
          <w:sz w:val="24"/>
          <w:szCs w:val="24"/>
        </w:rPr>
        <w:t>.</w:t>
      </w:r>
      <w:r w:rsidR="00455F33" w:rsidRPr="00F7124D">
        <w:rPr>
          <w:sz w:val="24"/>
          <w:szCs w:val="24"/>
        </w:rPr>
        <w:t xml:space="preserve"> </w:t>
      </w:r>
    </w:p>
    <w:p w14:paraId="3706D19F" w14:textId="77777777" w:rsidR="00654E7F" w:rsidRPr="00472FC2" w:rsidRDefault="00455F33" w:rsidP="00472FC2">
      <w:pPr>
        <w:spacing w:line="360" w:lineRule="auto"/>
        <w:jc w:val="both"/>
        <w:rPr>
          <w:sz w:val="24"/>
          <w:szCs w:val="24"/>
        </w:rPr>
      </w:pPr>
      <w:r w:rsidRPr="00472FC2">
        <w:rPr>
          <w:rFonts w:ascii="Times New Roman" w:hAnsi="Times New Roman" w:cs="Times New Roman"/>
          <w:sz w:val="24"/>
          <w:szCs w:val="24"/>
        </w:rPr>
        <w:lastRenderedPageBreak/>
        <w:t>Efektem zapoczątkowan</w:t>
      </w:r>
      <w:r w:rsidR="00D566EA">
        <w:rPr>
          <w:rFonts w:ascii="Times New Roman" w:hAnsi="Times New Roman" w:cs="Times New Roman"/>
          <w:sz w:val="24"/>
          <w:szCs w:val="24"/>
        </w:rPr>
        <w:t>ej</w:t>
      </w:r>
      <w:r w:rsidRPr="00472FC2">
        <w:rPr>
          <w:rFonts w:ascii="Times New Roman" w:hAnsi="Times New Roman" w:cs="Times New Roman"/>
          <w:sz w:val="24"/>
          <w:szCs w:val="24"/>
        </w:rPr>
        <w:t xml:space="preserve"> </w:t>
      </w:r>
      <w:r w:rsidR="00472FC2" w:rsidRPr="00472FC2">
        <w:rPr>
          <w:rFonts w:ascii="Times New Roman" w:hAnsi="Times New Roman" w:cs="Times New Roman"/>
          <w:sz w:val="24"/>
          <w:szCs w:val="24"/>
        </w:rPr>
        <w:t xml:space="preserve">w Zielonej Księdze dyskusji </w:t>
      </w:r>
      <w:r w:rsidRPr="00472FC2">
        <w:rPr>
          <w:rFonts w:ascii="Times New Roman" w:hAnsi="Times New Roman" w:cs="Times New Roman"/>
          <w:sz w:val="24"/>
          <w:szCs w:val="24"/>
        </w:rPr>
        <w:t xml:space="preserve">nad potrzebą zmian wzmacniających jakość badań sprawozdań finansowych w Unii Europejskiej było wprowadzenie </w:t>
      </w:r>
      <w:r w:rsidR="002F65F4" w:rsidRPr="00472FC2">
        <w:rPr>
          <w:rFonts w:ascii="Times New Roman" w:hAnsi="Times New Roman" w:cs="Times New Roman"/>
          <w:sz w:val="24"/>
          <w:szCs w:val="24"/>
        </w:rPr>
        <w:t xml:space="preserve">dyrektywy Parlamentu Europejskiego i Rady nr 2014/56/UE oraz </w:t>
      </w:r>
      <w:r w:rsidR="00525728">
        <w:rPr>
          <w:rFonts w:ascii="Times New Roman" w:hAnsi="Times New Roman" w:cs="Times New Roman"/>
          <w:sz w:val="24"/>
          <w:szCs w:val="24"/>
        </w:rPr>
        <w:t>R</w:t>
      </w:r>
      <w:r w:rsidR="002F65F4" w:rsidRPr="00472FC2">
        <w:rPr>
          <w:rFonts w:ascii="Times New Roman" w:hAnsi="Times New Roman" w:cs="Times New Roman"/>
          <w:sz w:val="24"/>
          <w:szCs w:val="24"/>
        </w:rPr>
        <w:t xml:space="preserve">ozporządzenia Parlamentu </w:t>
      </w:r>
      <w:r w:rsidR="00472FC2">
        <w:rPr>
          <w:rFonts w:ascii="Times New Roman" w:hAnsi="Times New Roman" w:cs="Times New Roman"/>
          <w:sz w:val="24"/>
          <w:szCs w:val="24"/>
        </w:rPr>
        <w:t>E</w:t>
      </w:r>
      <w:r w:rsidR="002F65F4" w:rsidRPr="00472FC2">
        <w:rPr>
          <w:rFonts w:ascii="Times New Roman" w:hAnsi="Times New Roman" w:cs="Times New Roman"/>
          <w:sz w:val="24"/>
          <w:szCs w:val="24"/>
        </w:rPr>
        <w:t>uropejskiego i Rady (UE) nr 537/2014. Nowe regulacje zastąpiły Dyrektywę Parlamentu Europejskiego i Rady nr 2006/43/WE</w:t>
      </w:r>
      <w:r w:rsidR="00986B5A">
        <w:rPr>
          <w:rFonts w:ascii="Times New Roman" w:hAnsi="Times New Roman" w:cs="Times New Roman"/>
          <w:sz w:val="24"/>
          <w:szCs w:val="24"/>
        </w:rPr>
        <w:t>,</w:t>
      </w:r>
      <w:r w:rsidR="002F65F4" w:rsidRPr="00472FC2">
        <w:rPr>
          <w:rFonts w:ascii="Times New Roman" w:hAnsi="Times New Roman" w:cs="Times New Roman"/>
          <w:sz w:val="24"/>
          <w:szCs w:val="24"/>
        </w:rPr>
        <w:t xml:space="preserve"> uchylając jednocześnie decyzj</w:t>
      </w:r>
      <w:r w:rsidR="00986B5A">
        <w:rPr>
          <w:rFonts w:ascii="Times New Roman" w:hAnsi="Times New Roman" w:cs="Times New Roman"/>
          <w:sz w:val="24"/>
          <w:szCs w:val="24"/>
        </w:rPr>
        <w:t>ę</w:t>
      </w:r>
      <w:r w:rsidR="002F65F4" w:rsidRPr="00472FC2">
        <w:rPr>
          <w:rFonts w:ascii="Times New Roman" w:hAnsi="Times New Roman" w:cs="Times New Roman"/>
          <w:sz w:val="24"/>
          <w:szCs w:val="24"/>
        </w:rPr>
        <w:t xml:space="preserve"> Komisji </w:t>
      </w:r>
      <w:r w:rsidR="006674A4">
        <w:rPr>
          <w:rFonts w:ascii="Times New Roman" w:hAnsi="Times New Roman" w:cs="Times New Roman"/>
          <w:sz w:val="24"/>
          <w:szCs w:val="24"/>
        </w:rPr>
        <w:t xml:space="preserve">nr </w:t>
      </w:r>
      <w:r w:rsidR="002F65F4" w:rsidRPr="00472FC2">
        <w:rPr>
          <w:rFonts w:ascii="Times New Roman" w:hAnsi="Times New Roman" w:cs="Times New Roman"/>
          <w:sz w:val="24"/>
          <w:szCs w:val="24"/>
        </w:rPr>
        <w:t>2005/909/WE.</w:t>
      </w:r>
      <w:r w:rsidR="00A05C3E" w:rsidRPr="00472FC2">
        <w:rPr>
          <w:rFonts w:ascii="Times New Roman" w:hAnsi="Times New Roman" w:cs="Times New Roman"/>
          <w:sz w:val="24"/>
          <w:szCs w:val="24"/>
        </w:rPr>
        <w:t xml:space="preserve"> </w:t>
      </w:r>
      <w:r w:rsidR="00811FCE" w:rsidRPr="00472FC2">
        <w:rPr>
          <w:rFonts w:ascii="Times New Roman" w:hAnsi="Times New Roman" w:cs="Times New Roman"/>
          <w:sz w:val="24"/>
          <w:szCs w:val="24"/>
        </w:rPr>
        <w:t>Nowe regulacje obligowały państwa członkowskie Unii Europejskiej do implementacji zmian w rewizji finansowej do prawa lokalnego</w:t>
      </w:r>
      <w:r w:rsidR="00811FCE" w:rsidRPr="00472FC2">
        <w:rPr>
          <w:sz w:val="24"/>
          <w:szCs w:val="24"/>
        </w:rPr>
        <w:t>.</w:t>
      </w:r>
    </w:p>
    <w:p w14:paraId="1BA49D27" w14:textId="77777777" w:rsidR="007743AB" w:rsidRDefault="007743AB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Jednymi z n</w:t>
      </w:r>
      <w:r w:rsidR="001142B5">
        <w:rPr>
          <w:rFonts w:ascii="Times New Roman" w:hAnsi="Times New Roman" w:cs="Times New Roman"/>
          <w:sz w:val="24"/>
          <w:szCs w:val="24"/>
        </w:rPr>
        <w:t>ajistotniejszy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1142B5">
        <w:rPr>
          <w:rFonts w:ascii="Times New Roman" w:hAnsi="Times New Roman" w:cs="Times New Roman"/>
          <w:sz w:val="24"/>
          <w:szCs w:val="24"/>
        </w:rPr>
        <w:t xml:space="preserve"> zmian</w:t>
      </w:r>
      <w:r w:rsidR="006674A4">
        <w:rPr>
          <w:rFonts w:ascii="Times New Roman" w:hAnsi="Times New Roman" w:cs="Times New Roman"/>
          <w:sz w:val="24"/>
          <w:szCs w:val="24"/>
        </w:rPr>
        <w:t>,</w:t>
      </w:r>
      <w:r w:rsidR="001142B5">
        <w:rPr>
          <w:rFonts w:ascii="Times New Roman" w:hAnsi="Times New Roman" w:cs="Times New Roman"/>
          <w:sz w:val="24"/>
          <w:szCs w:val="24"/>
        </w:rPr>
        <w:t xml:space="preserve"> jakie wprowadz</w:t>
      </w:r>
      <w:r>
        <w:rPr>
          <w:rFonts w:ascii="Times New Roman" w:hAnsi="Times New Roman" w:cs="Times New Roman"/>
          <w:sz w:val="24"/>
          <w:szCs w:val="24"/>
        </w:rPr>
        <w:t>iła</w:t>
      </w:r>
      <w:r w:rsidR="001142B5">
        <w:rPr>
          <w:rFonts w:ascii="Times New Roman" w:hAnsi="Times New Roman" w:cs="Times New Roman"/>
          <w:sz w:val="24"/>
          <w:szCs w:val="24"/>
        </w:rPr>
        <w:t xml:space="preserve"> dyrektywa Parlamentu Europejskiego i Rady </w:t>
      </w:r>
      <w:r w:rsidR="006674A4">
        <w:rPr>
          <w:rFonts w:ascii="Times New Roman" w:hAnsi="Times New Roman" w:cs="Times New Roman"/>
          <w:sz w:val="24"/>
          <w:szCs w:val="24"/>
        </w:rPr>
        <w:t xml:space="preserve">nr </w:t>
      </w:r>
      <w:r w:rsidR="001142B5">
        <w:rPr>
          <w:rFonts w:ascii="Times New Roman" w:hAnsi="Times New Roman" w:cs="Times New Roman"/>
          <w:sz w:val="24"/>
          <w:szCs w:val="24"/>
        </w:rPr>
        <w:t xml:space="preserve">2014/56/UE </w:t>
      </w:r>
      <w:r>
        <w:rPr>
          <w:rFonts w:ascii="Times New Roman" w:hAnsi="Times New Roman" w:cs="Times New Roman"/>
          <w:sz w:val="24"/>
          <w:szCs w:val="24"/>
        </w:rPr>
        <w:t>było:</w:t>
      </w:r>
    </w:p>
    <w:p w14:paraId="152D9339" w14:textId="77777777" w:rsidR="007743AB" w:rsidRDefault="007743AB" w:rsidP="007743AB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7743AB">
        <w:rPr>
          <w:sz w:val="24"/>
          <w:szCs w:val="24"/>
        </w:rPr>
        <w:t>obowiązko</w:t>
      </w:r>
      <w:r>
        <w:rPr>
          <w:sz w:val="24"/>
          <w:szCs w:val="24"/>
        </w:rPr>
        <w:t>we</w:t>
      </w:r>
      <w:r w:rsidR="00820D6B" w:rsidRPr="007743AB">
        <w:rPr>
          <w:sz w:val="24"/>
          <w:szCs w:val="24"/>
        </w:rPr>
        <w:t xml:space="preserve"> </w:t>
      </w:r>
      <w:r w:rsidR="001142B5" w:rsidRPr="007743AB">
        <w:rPr>
          <w:sz w:val="24"/>
          <w:szCs w:val="24"/>
        </w:rPr>
        <w:t>przeprowadzani</w:t>
      </w:r>
      <w:r>
        <w:rPr>
          <w:sz w:val="24"/>
          <w:szCs w:val="24"/>
        </w:rPr>
        <w:t>e</w:t>
      </w:r>
      <w:r w:rsidR="001142B5" w:rsidRPr="007743AB">
        <w:rPr>
          <w:sz w:val="24"/>
          <w:szCs w:val="24"/>
        </w:rPr>
        <w:t xml:space="preserve"> wszystkich badań ustawowych w oparciu o międzynarodowe standardy badania (MSB)</w:t>
      </w:r>
      <w:r>
        <w:rPr>
          <w:sz w:val="24"/>
          <w:szCs w:val="24"/>
        </w:rPr>
        <w:t>, oraz</w:t>
      </w:r>
    </w:p>
    <w:p w14:paraId="1075B213" w14:textId="77777777" w:rsidR="007743AB" w:rsidRDefault="007743AB" w:rsidP="007743AB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zobligowanie państw</w:t>
      </w:r>
      <w:r w:rsidR="00B83082" w:rsidRPr="007743AB">
        <w:rPr>
          <w:sz w:val="24"/>
          <w:szCs w:val="24"/>
        </w:rPr>
        <w:t xml:space="preserve"> członkowski</w:t>
      </w:r>
      <w:r>
        <w:rPr>
          <w:sz w:val="24"/>
          <w:szCs w:val="24"/>
        </w:rPr>
        <w:t>ch</w:t>
      </w:r>
      <w:r w:rsidR="00B83082" w:rsidRPr="007743AB">
        <w:rPr>
          <w:sz w:val="24"/>
          <w:szCs w:val="24"/>
        </w:rPr>
        <w:t xml:space="preserve"> do utworzeni</w:t>
      </w:r>
      <w:r w:rsidR="009A4C9A" w:rsidRPr="007743AB">
        <w:rPr>
          <w:sz w:val="24"/>
          <w:szCs w:val="24"/>
        </w:rPr>
        <w:t>a</w:t>
      </w:r>
      <w:r w:rsidR="00B83082" w:rsidRPr="007743AB">
        <w:rPr>
          <w:sz w:val="24"/>
          <w:szCs w:val="24"/>
        </w:rPr>
        <w:t xml:space="preserve"> publicznych systemów nadzoru nad biegłymi rewidentami i firmami audytorskimi.</w:t>
      </w:r>
      <w:r w:rsidR="008F7D8F" w:rsidRPr="007743AB">
        <w:rPr>
          <w:sz w:val="24"/>
          <w:szCs w:val="24"/>
        </w:rPr>
        <w:t xml:space="preserve"> </w:t>
      </w:r>
    </w:p>
    <w:p w14:paraId="0E3D3781" w14:textId="77777777" w:rsidR="00811FCE" w:rsidRPr="007743AB" w:rsidRDefault="007743AB" w:rsidP="00774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3AB">
        <w:rPr>
          <w:rFonts w:ascii="Times New Roman" w:hAnsi="Times New Roman" w:cs="Times New Roman"/>
          <w:sz w:val="24"/>
          <w:szCs w:val="24"/>
        </w:rPr>
        <w:t>Stosowanie jednolitych regulacji rewizji finansowej we wszystkich krajach Unii Europejskiej miało na celu zapewnienie wysokiej jakości badań sprawozdań finansowych</w:t>
      </w:r>
      <w:r>
        <w:rPr>
          <w:rFonts w:ascii="Times New Roman" w:hAnsi="Times New Roman" w:cs="Times New Roman"/>
          <w:sz w:val="24"/>
          <w:szCs w:val="24"/>
        </w:rPr>
        <w:t xml:space="preserve"> a zmiany systemów nadzoru </w:t>
      </w:r>
      <w:r w:rsidR="008F7D8F" w:rsidRPr="007743AB">
        <w:rPr>
          <w:rFonts w:ascii="Times New Roman" w:hAnsi="Times New Roman" w:cs="Times New Roman"/>
          <w:sz w:val="24"/>
          <w:szCs w:val="24"/>
        </w:rPr>
        <w:t xml:space="preserve">wzmocnić uprawnienia do </w:t>
      </w:r>
      <w:r w:rsidR="00196391" w:rsidRPr="007743AB">
        <w:rPr>
          <w:rFonts w:ascii="Times New Roman" w:hAnsi="Times New Roman" w:cs="Times New Roman"/>
          <w:sz w:val="24"/>
          <w:szCs w:val="24"/>
        </w:rPr>
        <w:t>stosowania</w:t>
      </w:r>
      <w:r w:rsidR="008F7D8F" w:rsidRPr="007743AB">
        <w:rPr>
          <w:rFonts w:ascii="Times New Roman" w:hAnsi="Times New Roman" w:cs="Times New Roman"/>
          <w:sz w:val="24"/>
          <w:szCs w:val="24"/>
        </w:rPr>
        <w:t xml:space="preserve"> środków nadzorczych oraz do nakładania </w:t>
      </w:r>
      <w:r>
        <w:rPr>
          <w:rFonts w:ascii="Times New Roman" w:hAnsi="Times New Roman" w:cs="Times New Roman"/>
          <w:sz w:val="24"/>
          <w:szCs w:val="24"/>
        </w:rPr>
        <w:t xml:space="preserve">odstraszających </w:t>
      </w:r>
      <w:r w:rsidR="003E29EB">
        <w:rPr>
          <w:rFonts w:ascii="Times New Roman" w:hAnsi="Times New Roman" w:cs="Times New Roman"/>
          <w:sz w:val="24"/>
          <w:szCs w:val="24"/>
        </w:rPr>
        <w:t xml:space="preserve">pieniężnych </w:t>
      </w:r>
      <w:r w:rsidR="008F7D8F" w:rsidRPr="007743AB">
        <w:rPr>
          <w:rFonts w:ascii="Times New Roman" w:hAnsi="Times New Roman" w:cs="Times New Roman"/>
          <w:sz w:val="24"/>
          <w:szCs w:val="24"/>
        </w:rPr>
        <w:t>kar</w:t>
      </w:r>
      <w:r w:rsidR="00A276B2" w:rsidRPr="00774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administracyjnych </w:t>
      </w:r>
      <w:r w:rsidR="008F7D8F" w:rsidRPr="007743AB">
        <w:rPr>
          <w:rFonts w:ascii="Times New Roman" w:hAnsi="Times New Roman" w:cs="Times New Roman"/>
          <w:sz w:val="24"/>
          <w:szCs w:val="24"/>
        </w:rPr>
        <w:t>na biegłych rewidentów, firmy audytorskie i jednostki interesu publicznego w związku ze stwierdzonymi naruszeniami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609">
        <w:rPr>
          <w:rFonts w:ascii="Times New Roman" w:hAnsi="Times New Roman" w:cs="Times New Roman"/>
          <w:sz w:val="24"/>
          <w:szCs w:val="24"/>
        </w:rPr>
        <w:t>np.</w:t>
      </w:r>
      <w:r w:rsidR="005B12BC" w:rsidRPr="007743AB">
        <w:rPr>
          <w:rFonts w:ascii="Times New Roman" w:hAnsi="Times New Roman" w:cs="Times New Roman"/>
          <w:sz w:val="24"/>
          <w:szCs w:val="24"/>
        </w:rPr>
        <w:t xml:space="preserve"> do kwoty jednego miliona </w:t>
      </w:r>
      <w:r w:rsidR="006D033F" w:rsidRPr="007743AB">
        <w:rPr>
          <w:rFonts w:ascii="Times New Roman" w:hAnsi="Times New Roman" w:cs="Times New Roman"/>
          <w:sz w:val="24"/>
          <w:szCs w:val="24"/>
        </w:rPr>
        <w:t xml:space="preserve">euro </w:t>
      </w:r>
      <w:r w:rsidR="005B12BC" w:rsidRPr="007743AB">
        <w:rPr>
          <w:rFonts w:ascii="Times New Roman" w:hAnsi="Times New Roman" w:cs="Times New Roman"/>
          <w:sz w:val="24"/>
          <w:szCs w:val="24"/>
        </w:rPr>
        <w:t>lub więcej w przypadku osób fizycznych oraz do określonej wartości procentowej całkowitych rocznych obrotów w poprzednim roku obrotowym w przypadku osób prawnych lub wszelkich innych jednostek</w:t>
      </w:r>
      <w:r w:rsidR="00DC6609">
        <w:rPr>
          <w:rFonts w:ascii="Times New Roman" w:hAnsi="Times New Roman" w:cs="Times New Roman"/>
          <w:sz w:val="24"/>
          <w:szCs w:val="24"/>
        </w:rPr>
        <w:t>) (Dyrektywa UE, 2014</w:t>
      </w:r>
      <w:r w:rsidR="003E29EB">
        <w:rPr>
          <w:rFonts w:ascii="Times New Roman" w:hAnsi="Times New Roman" w:cs="Times New Roman"/>
          <w:sz w:val="24"/>
          <w:szCs w:val="24"/>
        </w:rPr>
        <w:t>, par. 12, 14, 16</w:t>
      </w:r>
      <w:r w:rsidR="00DC6609">
        <w:rPr>
          <w:rFonts w:ascii="Times New Roman" w:hAnsi="Times New Roman" w:cs="Times New Roman"/>
          <w:sz w:val="24"/>
          <w:szCs w:val="24"/>
        </w:rPr>
        <w:t>)</w:t>
      </w:r>
      <w:r w:rsidR="005B12BC" w:rsidRPr="007743AB">
        <w:rPr>
          <w:rFonts w:ascii="Times New Roman" w:hAnsi="Times New Roman" w:cs="Times New Roman"/>
          <w:sz w:val="24"/>
          <w:szCs w:val="24"/>
        </w:rPr>
        <w:t>.</w:t>
      </w:r>
    </w:p>
    <w:p w14:paraId="5D8716F8" w14:textId="77777777" w:rsidR="00330085" w:rsidRDefault="007901BC" w:rsidP="0033008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E4A">
        <w:rPr>
          <w:rFonts w:ascii="Times New Roman" w:hAnsi="Times New Roman" w:cs="Times New Roman"/>
          <w:sz w:val="24"/>
          <w:szCs w:val="24"/>
        </w:rPr>
        <w:tab/>
      </w:r>
      <w:r w:rsidR="00B83082">
        <w:rPr>
          <w:rFonts w:ascii="Times New Roman" w:hAnsi="Times New Roman" w:cs="Times New Roman"/>
          <w:sz w:val="24"/>
          <w:szCs w:val="24"/>
        </w:rPr>
        <w:t xml:space="preserve">Międzynarodowe </w:t>
      </w:r>
      <w:r w:rsidR="006D033F">
        <w:rPr>
          <w:rFonts w:ascii="Times New Roman" w:hAnsi="Times New Roman" w:cs="Times New Roman"/>
          <w:sz w:val="24"/>
          <w:szCs w:val="24"/>
        </w:rPr>
        <w:t>S</w:t>
      </w:r>
      <w:r w:rsidR="00B83082">
        <w:rPr>
          <w:rFonts w:ascii="Times New Roman" w:hAnsi="Times New Roman" w:cs="Times New Roman"/>
          <w:sz w:val="24"/>
          <w:szCs w:val="24"/>
        </w:rPr>
        <w:t xml:space="preserve">tandardy </w:t>
      </w:r>
      <w:r w:rsidR="006D033F">
        <w:rPr>
          <w:rFonts w:ascii="Times New Roman" w:hAnsi="Times New Roman" w:cs="Times New Roman"/>
          <w:sz w:val="24"/>
          <w:szCs w:val="24"/>
        </w:rPr>
        <w:t>B</w:t>
      </w:r>
      <w:r w:rsidR="00B83082">
        <w:rPr>
          <w:rFonts w:ascii="Times New Roman" w:hAnsi="Times New Roman" w:cs="Times New Roman"/>
          <w:sz w:val="24"/>
          <w:szCs w:val="24"/>
        </w:rPr>
        <w:t xml:space="preserve">adania zostały </w:t>
      </w:r>
      <w:r w:rsidR="006D033F">
        <w:rPr>
          <w:rFonts w:ascii="Times New Roman" w:hAnsi="Times New Roman" w:cs="Times New Roman"/>
          <w:sz w:val="24"/>
          <w:szCs w:val="24"/>
        </w:rPr>
        <w:t>za</w:t>
      </w:r>
      <w:r w:rsidR="00B83082">
        <w:rPr>
          <w:rFonts w:ascii="Times New Roman" w:hAnsi="Times New Roman" w:cs="Times New Roman"/>
          <w:sz w:val="24"/>
          <w:szCs w:val="24"/>
        </w:rPr>
        <w:t>implementowane do stosowania w Polsce uchwałą Krajowej Rady Biegłych Rewidentów nr 2783/52/2015 z dnia 10 lutego 2015</w:t>
      </w:r>
      <w:r w:rsidR="006D033F">
        <w:rPr>
          <w:rFonts w:ascii="Times New Roman" w:hAnsi="Times New Roman" w:cs="Times New Roman"/>
          <w:sz w:val="24"/>
          <w:szCs w:val="24"/>
        </w:rPr>
        <w:t> </w:t>
      </w:r>
      <w:r w:rsidR="00B83082">
        <w:rPr>
          <w:rFonts w:ascii="Times New Roman" w:hAnsi="Times New Roman" w:cs="Times New Roman"/>
          <w:sz w:val="24"/>
          <w:szCs w:val="24"/>
        </w:rPr>
        <w:t>r.</w:t>
      </w:r>
      <w:r w:rsidR="001C17A9">
        <w:rPr>
          <w:rFonts w:ascii="Times New Roman" w:hAnsi="Times New Roman" w:cs="Times New Roman"/>
          <w:sz w:val="24"/>
          <w:szCs w:val="24"/>
        </w:rPr>
        <w:t>(Uchwała KRBR, 2015).</w:t>
      </w:r>
    </w:p>
    <w:p w14:paraId="22891065" w14:textId="77777777" w:rsidR="00330085" w:rsidRDefault="003E29EB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opracowania</w:t>
      </w:r>
      <w:r w:rsidR="00B83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B83082">
        <w:rPr>
          <w:rFonts w:ascii="Times New Roman" w:hAnsi="Times New Roman" w:cs="Times New Roman"/>
          <w:sz w:val="24"/>
          <w:szCs w:val="24"/>
        </w:rPr>
        <w:t xml:space="preserve"> prób</w:t>
      </w:r>
      <w:r>
        <w:rPr>
          <w:rFonts w:ascii="Times New Roman" w:hAnsi="Times New Roman" w:cs="Times New Roman"/>
          <w:sz w:val="24"/>
          <w:szCs w:val="24"/>
        </w:rPr>
        <w:t>a</w:t>
      </w:r>
      <w:r w:rsidR="00B83082">
        <w:rPr>
          <w:rFonts w:ascii="Times New Roman" w:hAnsi="Times New Roman" w:cs="Times New Roman"/>
          <w:sz w:val="24"/>
          <w:szCs w:val="24"/>
        </w:rPr>
        <w:t xml:space="preserve"> oceny wpływu </w:t>
      </w:r>
      <w:r w:rsidR="00330085">
        <w:rPr>
          <w:rFonts w:ascii="Times New Roman" w:hAnsi="Times New Roman" w:cs="Times New Roman"/>
          <w:sz w:val="24"/>
          <w:szCs w:val="24"/>
        </w:rPr>
        <w:t xml:space="preserve">wprowadzenia obligatoryjnego stosowania Międzynarodowych Standardów Badania </w:t>
      </w:r>
      <w:r w:rsidR="00B163F2">
        <w:rPr>
          <w:rFonts w:ascii="Times New Roman" w:hAnsi="Times New Roman" w:cs="Times New Roman"/>
          <w:sz w:val="24"/>
          <w:szCs w:val="24"/>
        </w:rPr>
        <w:t xml:space="preserve">(MSB) </w:t>
      </w:r>
      <w:r w:rsidR="00330085">
        <w:rPr>
          <w:rFonts w:ascii="Times New Roman" w:hAnsi="Times New Roman" w:cs="Times New Roman"/>
          <w:sz w:val="24"/>
          <w:szCs w:val="24"/>
        </w:rPr>
        <w:t xml:space="preserve">na </w:t>
      </w:r>
      <w:r w:rsidR="006D033F">
        <w:rPr>
          <w:rFonts w:ascii="Times New Roman" w:hAnsi="Times New Roman" w:cs="Times New Roman"/>
          <w:sz w:val="24"/>
          <w:szCs w:val="24"/>
        </w:rPr>
        <w:t>rynek audytu w Polsce</w:t>
      </w:r>
      <w:r>
        <w:rPr>
          <w:rFonts w:ascii="Times New Roman" w:hAnsi="Times New Roman" w:cs="Times New Roman"/>
          <w:sz w:val="24"/>
          <w:szCs w:val="24"/>
        </w:rPr>
        <w:t xml:space="preserve"> oraz zakres procedur badania uproszczonych sprawozdań finansowych</w:t>
      </w:r>
      <w:r w:rsidR="00B830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6C688" w14:textId="77777777" w:rsidR="00B163F2" w:rsidRDefault="00B163F2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celu, w</w:t>
      </w:r>
      <w:r w:rsidR="003F11AB" w:rsidRPr="003F11AB">
        <w:rPr>
          <w:rFonts w:ascii="Times New Roman" w:hAnsi="Times New Roman" w:cs="Times New Roman"/>
          <w:sz w:val="24"/>
          <w:szCs w:val="24"/>
        </w:rPr>
        <w:t xml:space="preserve"> </w:t>
      </w:r>
      <w:r w:rsidR="0069338E">
        <w:rPr>
          <w:rFonts w:ascii="Times New Roman" w:hAnsi="Times New Roman" w:cs="Times New Roman"/>
          <w:sz w:val="24"/>
          <w:szCs w:val="24"/>
        </w:rPr>
        <w:t>publikacji</w:t>
      </w:r>
      <w:r w:rsidR="003F11AB" w:rsidRPr="003F11AB">
        <w:rPr>
          <w:rFonts w:ascii="Times New Roman" w:hAnsi="Times New Roman" w:cs="Times New Roman"/>
          <w:sz w:val="24"/>
          <w:szCs w:val="24"/>
        </w:rPr>
        <w:t xml:space="preserve"> wykorzystano w szczególności metodę analizy literatury przedmiotu</w:t>
      </w:r>
      <w:r w:rsidR="003F11AB">
        <w:rPr>
          <w:rFonts w:ascii="Times New Roman" w:hAnsi="Times New Roman" w:cs="Times New Roman"/>
          <w:sz w:val="24"/>
          <w:szCs w:val="24"/>
        </w:rPr>
        <w:t xml:space="preserve"> </w:t>
      </w:r>
      <w:r w:rsidR="003F11AB" w:rsidRPr="003F11AB">
        <w:rPr>
          <w:rFonts w:ascii="Times New Roman" w:hAnsi="Times New Roman" w:cs="Times New Roman"/>
          <w:sz w:val="24"/>
          <w:szCs w:val="24"/>
        </w:rPr>
        <w:t xml:space="preserve">oraz aktów prawnych wraz z uzasadnieniami, a w dalszej części metodą analizy wyników ankiety przeprowadzonej wśród biegłych rewidentów </w:t>
      </w:r>
      <w:r w:rsidR="0069513E">
        <w:rPr>
          <w:rFonts w:ascii="Times New Roman" w:hAnsi="Times New Roman" w:cs="Times New Roman"/>
          <w:sz w:val="24"/>
          <w:szCs w:val="24"/>
        </w:rPr>
        <w:t>oraz analizę danych statystycznych.</w:t>
      </w:r>
      <w:r>
        <w:rPr>
          <w:rFonts w:ascii="Times New Roman" w:hAnsi="Times New Roman" w:cs="Times New Roman"/>
          <w:sz w:val="24"/>
          <w:szCs w:val="24"/>
        </w:rPr>
        <w:t xml:space="preserve"> Podczas analizy poszukiwano odpowiedzi na pytania badawcze:</w:t>
      </w:r>
    </w:p>
    <w:p w14:paraId="593B596C" w14:textId="77777777" w:rsidR="00B163F2" w:rsidRDefault="00B163F2" w:rsidP="00B163F2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B163F2">
        <w:rPr>
          <w:sz w:val="24"/>
          <w:szCs w:val="24"/>
        </w:rPr>
        <w:lastRenderedPageBreak/>
        <w:t xml:space="preserve">czy obligatoryjne wprowadzenie MSB w Polsce spowoduje istotne zmniejszenie się liczby biegłych rewidentów pracujących w zawodzie </w:t>
      </w:r>
      <w:r w:rsidR="00EE35B1">
        <w:rPr>
          <w:sz w:val="24"/>
          <w:szCs w:val="24"/>
        </w:rPr>
        <w:t>oraz ilości firm audytorskich, oraz</w:t>
      </w:r>
      <w:r w:rsidRPr="00B163F2">
        <w:rPr>
          <w:sz w:val="24"/>
          <w:szCs w:val="24"/>
        </w:rPr>
        <w:t xml:space="preserve"> </w:t>
      </w:r>
    </w:p>
    <w:p w14:paraId="54E2748D" w14:textId="77777777" w:rsidR="00B83082" w:rsidRDefault="00B163F2" w:rsidP="00B163F2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B163F2">
        <w:rPr>
          <w:sz w:val="24"/>
          <w:szCs w:val="24"/>
        </w:rPr>
        <w:t xml:space="preserve">czy </w:t>
      </w:r>
      <w:r>
        <w:rPr>
          <w:sz w:val="24"/>
          <w:szCs w:val="24"/>
        </w:rPr>
        <w:t xml:space="preserve">zakres procedur badania uproszczonych sprawozdań finansowych ulegnie </w:t>
      </w:r>
      <w:r w:rsidR="00EE35B1">
        <w:rPr>
          <w:sz w:val="24"/>
          <w:szCs w:val="24"/>
        </w:rPr>
        <w:t>zmniejszeniu.</w:t>
      </w:r>
    </w:p>
    <w:p w14:paraId="0E9E29C8" w14:textId="77777777" w:rsidR="00941100" w:rsidRDefault="00941100" w:rsidP="00941100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</w:p>
    <w:p w14:paraId="64B587FD" w14:textId="77777777" w:rsidR="00410472" w:rsidRDefault="000D0FAD" w:rsidP="00EE35B1">
      <w:pPr>
        <w:pStyle w:val="Akapitzlist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Rynek audytu</w:t>
      </w:r>
      <w:r w:rsidR="0069513E" w:rsidRPr="0069513E">
        <w:rPr>
          <w:b/>
          <w:bCs/>
          <w:sz w:val="24"/>
          <w:szCs w:val="24"/>
        </w:rPr>
        <w:t xml:space="preserve"> w Polsce</w:t>
      </w:r>
    </w:p>
    <w:p w14:paraId="232EE6CE" w14:textId="77777777" w:rsidR="00EE35B1" w:rsidRDefault="00EE35B1" w:rsidP="00EE35B1">
      <w:pPr>
        <w:pStyle w:val="Akapitzlist"/>
        <w:numPr>
          <w:ilvl w:val="1"/>
          <w:numId w:val="23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Krótka historia audytu w Polsce</w:t>
      </w:r>
    </w:p>
    <w:p w14:paraId="595923E8" w14:textId="77777777" w:rsidR="00047488" w:rsidRDefault="009E6521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 strukturze właścicielskiej podmiotów gospodarczych spowodowane zmianami ustrojowymi na początku lat 90 polegały między innymi na osłabieniu roli Skarbu Państwa na rzecz własności prywatnej. Zmiany te zapoczątkowały zmiany w rachunkowości i rewizji finansowej w Polsce</w:t>
      </w:r>
      <w:r w:rsidR="001C17A9">
        <w:rPr>
          <w:rFonts w:ascii="Times New Roman" w:hAnsi="Times New Roman" w:cs="Times New Roman"/>
          <w:sz w:val="24"/>
          <w:szCs w:val="24"/>
        </w:rPr>
        <w:t xml:space="preserve"> (P. Staszkiewicz, 2017, s. 82)</w:t>
      </w:r>
      <w:r>
        <w:rPr>
          <w:rFonts w:ascii="Times New Roman" w:hAnsi="Times New Roman" w:cs="Times New Roman"/>
          <w:sz w:val="24"/>
          <w:szCs w:val="24"/>
        </w:rPr>
        <w:t>. Aktem normujący</w:t>
      </w:r>
      <w:r w:rsidR="000474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sprawy rachunkowości była ustawa o rachunkowości</w:t>
      </w:r>
      <w:r w:rsidR="005F21C8">
        <w:rPr>
          <w:rFonts w:ascii="Times New Roman" w:hAnsi="Times New Roman" w:cs="Times New Roman"/>
          <w:sz w:val="24"/>
          <w:szCs w:val="24"/>
        </w:rPr>
        <w:t>, która podlegała do dnia dzisiejszego wielu modyfikacjom</w:t>
      </w:r>
      <w:r w:rsidR="00047488">
        <w:rPr>
          <w:rFonts w:ascii="Times New Roman" w:hAnsi="Times New Roman" w:cs="Times New Roman"/>
          <w:sz w:val="24"/>
          <w:szCs w:val="24"/>
        </w:rPr>
        <w:t>,</w:t>
      </w:r>
      <w:r w:rsidR="0022460A">
        <w:rPr>
          <w:rFonts w:ascii="Times New Roman" w:hAnsi="Times New Roman" w:cs="Times New Roman"/>
          <w:sz w:val="24"/>
          <w:szCs w:val="24"/>
        </w:rPr>
        <w:t xml:space="preserve"> mającym na celu dostosowanie rozwiązań rachunkowych do zmieniającej się gospodarki. </w:t>
      </w:r>
    </w:p>
    <w:p w14:paraId="4BC36887" w14:textId="77777777" w:rsidR="0069513E" w:rsidRDefault="0022460A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Pierwszym aktem prawnym regulującym </w:t>
      </w:r>
      <w:r w:rsidR="001767B6">
        <w:rPr>
          <w:rFonts w:ascii="Times New Roman" w:hAnsi="Times New Roman" w:cs="Times New Roman"/>
          <w:sz w:val="24"/>
          <w:szCs w:val="24"/>
        </w:rPr>
        <w:t xml:space="preserve">usługi atestacyjne w Polsce była ustawa z dnia </w:t>
      </w:r>
      <w:r w:rsidR="001767B6" w:rsidRPr="001767B6">
        <w:rPr>
          <w:rFonts w:ascii="Times New Roman" w:hAnsi="Times New Roman" w:cs="Times New Roman"/>
          <w:sz w:val="24"/>
          <w:szCs w:val="24"/>
        </w:rPr>
        <w:t>19.10.1991 r. o badaniu i ogłaszaniu sprawozdań finansowych oraz biegłych rewidentach i ich samorządzie</w:t>
      </w:r>
      <w:r w:rsidR="001767B6">
        <w:rPr>
          <w:rFonts w:ascii="Times New Roman" w:hAnsi="Times New Roman" w:cs="Times New Roman"/>
          <w:sz w:val="24"/>
          <w:szCs w:val="24"/>
        </w:rPr>
        <w:t xml:space="preserve">. Na mocy ustawy powstał samorząd zawodowy biegłych rewidentów oraz </w:t>
      </w:r>
      <w:r w:rsidR="001767B6" w:rsidRPr="001767B6">
        <w:rPr>
          <w:rFonts w:ascii="Times New Roman" w:hAnsi="Times New Roman" w:cs="Times New Roman"/>
          <w:sz w:val="24"/>
          <w:szCs w:val="24"/>
        </w:rPr>
        <w:t>podmiot</w:t>
      </w:r>
      <w:r w:rsidR="001767B6">
        <w:rPr>
          <w:rFonts w:ascii="Times New Roman" w:hAnsi="Times New Roman" w:cs="Times New Roman"/>
          <w:sz w:val="24"/>
          <w:szCs w:val="24"/>
        </w:rPr>
        <w:t>ów</w:t>
      </w:r>
      <w:r w:rsidR="001767B6" w:rsidRPr="001767B6">
        <w:rPr>
          <w:rFonts w:ascii="Times New Roman" w:hAnsi="Times New Roman" w:cs="Times New Roman"/>
          <w:sz w:val="24"/>
          <w:szCs w:val="24"/>
        </w:rPr>
        <w:t xml:space="preserve"> uprawnion</w:t>
      </w:r>
      <w:r w:rsidR="001767B6">
        <w:rPr>
          <w:rFonts w:ascii="Times New Roman" w:hAnsi="Times New Roman" w:cs="Times New Roman"/>
          <w:sz w:val="24"/>
          <w:szCs w:val="24"/>
        </w:rPr>
        <w:t>ych</w:t>
      </w:r>
      <w:r w:rsidR="001767B6" w:rsidRPr="001767B6">
        <w:rPr>
          <w:rFonts w:ascii="Times New Roman" w:hAnsi="Times New Roman" w:cs="Times New Roman"/>
          <w:sz w:val="24"/>
          <w:szCs w:val="24"/>
        </w:rPr>
        <w:t xml:space="preserve"> do badania sprawozdań finansowych</w:t>
      </w:r>
      <w:r w:rsidR="001C17A9">
        <w:rPr>
          <w:rFonts w:ascii="Times New Roman" w:hAnsi="Times New Roman" w:cs="Times New Roman"/>
          <w:sz w:val="24"/>
          <w:szCs w:val="24"/>
        </w:rPr>
        <w:t xml:space="preserve"> (W. Fałowski, 2020)</w:t>
      </w:r>
      <w:r w:rsidR="001767B6">
        <w:rPr>
          <w:rFonts w:ascii="Times New Roman" w:hAnsi="Times New Roman" w:cs="Times New Roman"/>
          <w:sz w:val="24"/>
          <w:szCs w:val="24"/>
        </w:rPr>
        <w:t>.</w:t>
      </w:r>
      <w:r w:rsidR="00110D49">
        <w:rPr>
          <w:rFonts w:ascii="Times New Roman" w:hAnsi="Times New Roman" w:cs="Times New Roman"/>
          <w:sz w:val="24"/>
          <w:szCs w:val="24"/>
        </w:rPr>
        <w:t xml:space="preserve"> Regulacje te zostały zastąpione nowymi regulacjami wprowadzonymi ustawą z dnia</w:t>
      </w:r>
      <w:r w:rsidR="00110D49" w:rsidRPr="00110D49">
        <w:rPr>
          <w:rFonts w:ascii="Times New Roman" w:hAnsi="Times New Roman" w:cs="Times New Roman"/>
          <w:sz w:val="24"/>
          <w:szCs w:val="24"/>
        </w:rPr>
        <w:t xml:space="preserve"> 13.10.1994 r. o biegłych rewidentach i ich samorządzie</w:t>
      </w:r>
      <w:r w:rsidR="00110D49">
        <w:rPr>
          <w:rFonts w:ascii="Times New Roman" w:hAnsi="Times New Roman" w:cs="Times New Roman"/>
          <w:sz w:val="24"/>
          <w:szCs w:val="24"/>
        </w:rPr>
        <w:t xml:space="preserve">, które nie wprowadzały istotnych zmian w polskiej rewizji finansowej. Kolejna nowelizacja </w:t>
      </w:r>
      <w:r w:rsidR="00801D3D">
        <w:rPr>
          <w:rFonts w:ascii="Times New Roman" w:hAnsi="Times New Roman" w:cs="Times New Roman"/>
          <w:sz w:val="24"/>
          <w:szCs w:val="24"/>
        </w:rPr>
        <w:t xml:space="preserve">ustawy </w:t>
      </w:r>
      <w:r w:rsidR="00801D3D" w:rsidRPr="00801D3D">
        <w:rPr>
          <w:rFonts w:ascii="Times New Roman" w:hAnsi="Times New Roman" w:cs="Times New Roman"/>
          <w:sz w:val="24"/>
          <w:szCs w:val="24"/>
        </w:rPr>
        <w:t xml:space="preserve">o biegłych rewidentach i ich samorządzie </w:t>
      </w:r>
      <w:r w:rsidR="00801D3D">
        <w:rPr>
          <w:rFonts w:ascii="Times New Roman" w:hAnsi="Times New Roman" w:cs="Times New Roman"/>
          <w:sz w:val="24"/>
          <w:szCs w:val="24"/>
        </w:rPr>
        <w:t>z dnia</w:t>
      </w:r>
      <w:r w:rsidR="00801D3D" w:rsidRPr="00801D3D">
        <w:rPr>
          <w:rFonts w:ascii="Times New Roman" w:hAnsi="Times New Roman" w:cs="Times New Roman"/>
          <w:sz w:val="24"/>
          <w:szCs w:val="24"/>
        </w:rPr>
        <w:t xml:space="preserve"> 21.09.2000 r</w:t>
      </w:r>
      <w:r w:rsidR="001C17A9">
        <w:rPr>
          <w:rFonts w:ascii="Times New Roman" w:hAnsi="Times New Roman" w:cs="Times New Roman"/>
          <w:sz w:val="24"/>
          <w:szCs w:val="24"/>
        </w:rPr>
        <w:t>.</w:t>
      </w:r>
      <w:r w:rsidR="004D3A31">
        <w:rPr>
          <w:rFonts w:ascii="Times New Roman" w:hAnsi="Times New Roman" w:cs="Times New Roman"/>
          <w:sz w:val="24"/>
          <w:szCs w:val="24"/>
        </w:rPr>
        <w:t xml:space="preserve"> </w:t>
      </w:r>
      <w:r w:rsidR="00801D3D" w:rsidRPr="00801D3D">
        <w:rPr>
          <w:rFonts w:ascii="Times New Roman" w:hAnsi="Times New Roman" w:cs="Times New Roman"/>
          <w:sz w:val="24"/>
          <w:szCs w:val="24"/>
        </w:rPr>
        <w:t>wprowadz</w:t>
      </w:r>
      <w:r w:rsidR="00801D3D">
        <w:rPr>
          <w:rFonts w:ascii="Times New Roman" w:hAnsi="Times New Roman" w:cs="Times New Roman"/>
          <w:sz w:val="24"/>
          <w:szCs w:val="24"/>
        </w:rPr>
        <w:t>iła</w:t>
      </w:r>
      <w:r w:rsidR="00801D3D" w:rsidRPr="00801D3D">
        <w:rPr>
          <w:rFonts w:ascii="Times New Roman" w:hAnsi="Times New Roman" w:cs="Times New Roman"/>
          <w:sz w:val="24"/>
          <w:szCs w:val="24"/>
        </w:rPr>
        <w:t xml:space="preserve"> rejestr biegłych</w:t>
      </w:r>
      <w:r w:rsidR="00801D3D">
        <w:rPr>
          <w:rFonts w:ascii="Times New Roman" w:hAnsi="Times New Roman" w:cs="Times New Roman"/>
          <w:sz w:val="24"/>
          <w:szCs w:val="24"/>
        </w:rPr>
        <w:t xml:space="preserve"> rewidentów </w:t>
      </w:r>
      <w:r w:rsidR="00801D3D" w:rsidRPr="00801D3D">
        <w:rPr>
          <w:rFonts w:ascii="Times New Roman" w:hAnsi="Times New Roman" w:cs="Times New Roman"/>
          <w:sz w:val="24"/>
          <w:szCs w:val="24"/>
        </w:rPr>
        <w:t xml:space="preserve">i listę biegłych uprawnionych do badania </w:t>
      </w:r>
      <w:r w:rsidR="00801D3D">
        <w:rPr>
          <w:rFonts w:ascii="Times New Roman" w:hAnsi="Times New Roman" w:cs="Times New Roman"/>
          <w:sz w:val="24"/>
          <w:szCs w:val="24"/>
        </w:rPr>
        <w:t>sprawozdań finansowych</w:t>
      </w:r>
      <w:r w:rsidR="00801D3D" w:rsidRPr="00801D3D">
        <w:rPr>
          <w:rFonts w:ascii="Times New Roman" w:hAnsi="Times New Roman" w:cs="Times New Roman"/>
          <w:sz w:val="24"/>
          <w:szCs w:val="24"/>
        </w:rPr>
        <w:t>.</w:t>
      </w:r>
      <w:r w:rsidR="00801D3D">
        <w:rPr>
          <w:rFonts w:ascii="Times New Roman" w:hAnsi="Times New Roman" w:cs="Times New Roman"/>
          <w:sz w:val="24"/>
          <w:szCs w:val="24"/>
        </w:rPr>
        <w:t xml:space="preserve"> Zgodnie z zapisami nowej ustawy</w:t>
      </w:r>
      <w:r w:rsidR="003C1059">
        <w:rPr>
          <w:rFonts w:ascii="Times New Roman" w:hAnsi="Times New Roman" w:cs="Times New Roman"/>
          <w:sz w:val="24"/>
          <w:szCs w:val="24"/>
        </w:rPr>
        <w:t>,</w:t>
      </w:r>
      <w:r w:rsidR="00801D3D">
        <w:rPr>
          <w:rFonts w:ascii="Times New Roman" w:hAnsi="Times New Roman" w:cs="Times New Roman"/>
          <w:sz w:val="24"/>
          <w:szCs w:val="24"/>
        </w:rPr>
        <w:t xml:space="preserve"> członkami samorządu zostali tylko biegli rewidenci. </w:t>
      </w:r>
      <w:r w:rsidR="004D3A31">
        <w:rPr>
          <w:rFonts w:ascii="Times New Roman" w:hAnsi="Times New Roman" w:cs="Times New Roman"/>
          <w:sz w:val="24"/>
          <w:szCs w:val="24"/>
        </w:rPr>
        <w:t xml:space="preserve">Został </w:t>
      </w:r>
      <w:r w:rsidR="00801D3D">
        <w:rPr>
          <w:rFonts w:ascii="Times New Roman" w:hAnsi="Times New Roman" w:cs="Times New Roman"/>
          <w:sz w:val="24"/>
          <w:szCs w:val="24"/>
        </w:rPr>
        <w:t xml:space="preserve">powołany nowy </w:t>
      </w:r>
      <w:r w:rsidR="00801D3D" w:rsidRPr="00801D3D">
        <w:rPr>
          <w:rFonts w:ascii="Times New Roman" w:hAnsi="Times New Roman" w:cs="Times New Roman"/>
          <w:sz w:val="24"/>
          <w:szCs w:val="24"/>
        </w:rPr>
        <w:t xml:space="preserve">organ samorządu w postaci Krajowej Komisji Nadzoru, którego zadaniem było organizowanie i sprawowanie nadzoru i kontroli nad przestrzeganiem </w:t>
      </w:r>
      <w:r w:rsidR="00801D3D">
        <w:rPr>
          <w:rFonts w:ascii="Times New Roman" w:hAnsi="Times New Roman" w:cs="Times New Roman"/>
          <w:sz w:val="24"/>
          <w:szCs w:val="24"/>
        </w:rPr>
        <w:t>standardów wykonywania zawodu przez biegłych rewidentów i podmioty uprawnione</w:t>
      </w:r>
      <w:r w:rsidR="003C1059">
        <w:rPr>
          <w:rFonts w:ascii="Times New Roman" w:hAnsi="Times New Roman" w:cs="Times New Roman"/>
          <w:sz w:val="24"/>
          <w:szCs w:val="24"/>
        </w:rPr>
        <w:t xml:space="preserve"> do badania sprawozdań finansowych</w:t>
      </w:r>
      <w:r w:rsidR="004D3A31">
        <w:rPr>
          <w:rFonts w:ascii="Times New Roman" w:hAnsi="Times New Roman" w:cs="Times New Roman"/>
          <w:sz w:val="24"/>
          <w:szCs w:val="24"/>
        </w:rPr>
        <w:t xml:space="preserve"> (</w:t>
      </w:r>
      <w:r w:rsidR="001C17A9">
        <w:rPr>
          <w:rFonts w:ascii="Times New Roman" w:hAnsi="Times New Roman" w:cs="Times New Roman"/>
          <w:sz w:val="24"/>
          <w:szCs w:val="24"/>
        </w:rPr>
        <w:t>U</w:t>
      </w:r>
      <w:r w:rsidR="004D3A31">
        <w:rPr>
          <w:rFonts w:ascii="Times New Roman" w:hAnsi="Times New Roman" w:cs="Times New Roman"/>
          <w:sz w:val="24"/>
          <w:szCs w:val="24"/>
        </w:rPr>
        <w:t>stawa o biegłych rewidentach, 2000, art. 28)</w:t>
      </w:r>
      <w:r w:rsidR="00801D3D" w:rsidRPr="00801D3D">
        <w:rPr>
          <w:rFonts w:ascii="Times New Roman" w:hAnsi="Times New Roman" w:cs="Times New Roman"/>
          <w:sz w:val="24"/>
          <w:szCs w:val="24"/>
        </w:rPr>
        <w:t>.</w:t>
      </w:r>
    </w:p>
    <w:p w14:paraId="228DD671" w14:textId="77777777" w:rsidR="003667E0" w:rsidRDefault="004D3A31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Kolejna zmiana </w:t>
      </w:r>
      <w:r w:rsidR="003C64FE" w:rsidRPr="003C64FE">
        <w:rPr>
          <w:rFonts w:ascii="Times New Roman" w:hAnsi="Times New Roman" w:cs="Times New Roman"/>
          <w:sz w:val="24"/>
          <w:szCs w:val="24"/>
        </w:rPr>
        <w:t>ustawy o biegłych rewidentach i ich samorządzie, podmiotach uprawnionych do badania sprawozdań finansowych oraz o nadzorze publicznym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3F5">
        <w:rPr>
          <w:rFonts w:ascii="Times New Roman" w:hAnsi="Times New Roman" w:cs="Times New Roman"/>
          <w:sz w:val="24"/>
          <w:szCs w:val="24"/>
        </w:rPr>
        <w:t>zmieniła system nadzoru nad firmami audytorskimi i biegłymi rewidentami. Celem utworzenia</w:t>
      </w:r>
      <w:r w:rsidR="003667E0">
        <w:rPr>
          <w:rFonts w:ascii="Times New Roman" w:hAnsi="Times New Roman" w:cs="Times New Roman"/>
          <w:sz w:val="24"/>
          <w:szCs w:val="24"/>
        </w:rPr>
        <w:t xml:space="preserve"> now</w:t>
      </w:r>
      <w:r w:rsidR="004873F5">
        <w:rPr>
          <w:rFonts w:ascii="Times New Roman" w:hAnsi="Times New Roman" w:cs="Times New Roman"/>
          <w:sz w:val="24"/>
          <w:szCs w:val="24"/>
        </w:rPr>
        <w:t>ego</w:t>
      </w:r>
      <w:r w:rsidR="003667E0">
        <w:rPr>
          <w:rFonts w:ascii="Times New Roman" w:hAnsi="Times New Roman" w:cs="Times New Roman"/>
          <w:sz w:val="24"/>
          <w:szCs w:val="24"/>
        </w:rPr>
        <w:t xml:space="preserve"> organ</w:t>
      </w:r>
      <w:r w:rsidR="004873F5">
        <w:rPr>
          <w:rFonts w:ascii="Times New Roman" w:hAnsi="Times New Roman" w:cs="Times New Roman"/>
          <w:sz w:val="24"/>
          <w:szCs w:val="24"/>
        </w:rPr>
        <w:t>u</w:t>
      </w:r>
      <w:r w:rsidR="005E3BE9">
        <w:rPr>
          <w:rFonts w:ascii="Times New Roman" w:hAnsi="Times New Roman" w:cs="Times New Roman"/>
          <w:sz w:val="24"/>
          <w:szCs w:val="24"/>
        </w:rPr>
        <w:t>,</w:t>
      </w:r>
      <w:r w:rsidR="003667E0">
        <w:rPr>
          <w:rFonts w:ascii="Times New Roman" w:hAnsi="Times New Roman" w:cs="Times New Roman"/>
          <w:sz w:val="24"/>
          <w:szCs w:val="24"/>
        </w:rPr>
        <w:t xml:space="preserve"> </w:t>
      </w:r>
      <w:r w:rsidR="003667E0" w:rsidRPr="003667E0">
        <w:rPr>
          <w:rFonts w:ascii="Times New Roman" w:hAnsi="Times New Roman" w:cs="Times New Roman"/>
          <w:sz w:val="24"/>
          <w:szCs w:val="24"/>
        </w:rPr>
        <w:t>Komisj</w:t>
      </w:r>
      <w:r w:rsidR="004873F5">
        <w:rPr>
          <w:rFonts w:ascii="Times New Roman" w:hAnsi="Times New Roman" w:cs="Times New Roman"/>
          <w:sz w:val="24"/>
          <w:szCs w:val="24"/>
        </w:rPr>
        <w:t>i</w:t>
      </w:r>
      <w:r w:rsidR="003667E0" w:rsidRPr="003667E0">
        <w:rPr>
          <w:rFonts w:ascii="Times New Roman" w:hAnsi="Times New Roman" w:cs="Times New Roman"/>
          <w:sz w:val="24"/>
          <w:szCs w:val="24"/>
        </w:rPr>
        <w:t xml:space="preserve"> Nadzoru Audytowego (KNA)</w:t>
      </w:r>
      <w:r w:rsidR="003667E0">
        <w:rPr>
          <w:rFonts w:ascii="Times New Roman" w:hAnsi="Times New Roman" w:cs="Times New Roman"/>
          <w:sz w:val="24"/>
          <w:szCs w:val="24"/>
        </w:rPr>
        <w:t xml:space="preserve"> </w:t>
      </w:r>
      <w:r w:rsidR="004873F5">
        <w:rPr>
          <w:rFonts w:ascii="Times New Roman" w:hAnsi="Times New Roman" w:cs="Times New Roman"/>
          <w:sz w:val="24"/>
          <w:szCs w:val="24"/>
        </w:rPr>
        <w:t>było</w:t>
      </w:r>
      <w:r w:rsidR="003667E0">
        <w:rPr>
          <w:rFonts w:ascii="Times New Roman" w:hAnsi="Times New Roman" w:cs="Times New Roman"/>
          <w:sz w:val="24"/>
          <w:szCs w:val="24"/>
        </w:rPr>
        <w:t xml:space="preserve"> sprawowania</w:t>
      </w:r>
      <w:r w:rsidR="003C64FE">
        <w:rPr>
          <w:rFonts w:ascii="Times New Roman" w:hAnsi="Times New Roman" w:cs="Times New Roman"/>
          <w:sz w:val="24"/>
          <w:szCs w:val="24"/>
        </w:rPr>
        <w:t xml:space="preserve"> </w:t>
      </w:r>
      <w:r w:rsidR="003667E0" w:rsidRPr="003667E0">
        <w:rPr>
          <w:rFonts w:ascii="Times New Roman" w:hAnsi="Times New Roman" w:cs="Times New Roman"/>
          <w:sz w:val="24"/>
          <w:szCs w:val="24"/>
        </w:rPr>
        <w:t>nadzor</w:t>
      </w:r>
      <w:r w:rsidR="003667E0">
        <w:rPr>
          <w:rFonts w:ascii="Times New Roman" w:hAnsi="Times New Roman" w:cs="Times New Roman"/>
          <w:sz w:val="24"/>
          <w:szCs w:val="24"/>
        </w:rPr>
        <w:t>u</w:t>
      </w:r>
      <w:r w:rsidR="003C64FE" w:rsidRPr="003667E0">
        <w:rPr>
          <w:rFonts w:ascii="Times New Roman" w:hAnsi="Times New Roman" w:cs="Times New Roman"/>
          <w:sz w:val="24"/>
          <w:szCs w:val="24"/>
        </w:rPr>
        <w:t xml:space="preserve"> nad samorządem</w:t>
      </w:r>
      <w:r w:rsidR="003667E0">
        <w:rPr>
          <w:rFonts w:ascii="Times New Roman" w:hAnsi="Times New Roman" w:cs="Times New Roman"/>
          <w:sz w:val="24"/>
          <w:szCs w:val="24"/>
        </w:rPr>
        <w:t xml:space="preserve">. Komisja Nadzoru Audytowego była instytucją w </w:t>
      </w:r>
      <w:r w:rsidR="003C64FE" w:rsidRPr="003667E0">
        <w:rPr>
          <w:rFonts w:ascii="Times New Roman" w:hAnsi="Times New Roman" w:cs="Times New Roman"/>
          <w:sz w:val="24"/>
          <w:szCs w:val="24"/>
        </w:rPr>
        <w:t xml:space="preserve"> strukturze Ministerstwa Finansów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873F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stawa o </w:t>
      </w:r>
      <w:r>
        <w:rPr>
          <w:rFonts w:ascii="Times New Roman" w:hAnsi="Times New Roman" w:cs="Times New Roman"/>
          <w:sz w:val="24"/>
          <w:szCs w:val="24"/>
        </w:rPr>
        <w:lastRenderedPageBreak/>
        <w:t>biegłych rewidentach, 2009)</w:t>
      </w:r>
      <w:r w:rsidR="003C64FE" w:rsidRPr="003667E0">
        <w:rPr>
          <w:rFonts w:ascii="Times New Roman" w:hAnsi="Times New Roman" w:cs="Times New Roman"/>
          <w:sz w:val="24"/>
          <w:szCs w:val="24"/>
        </w:rPr>
        <w:t xml:space="preserve">. </w:t>
      </w:r>
      <w:r w:rsidR="003667E0">
        <w:rPr>
          <w:rFonts w:ascii="Times New Roman" w:hAnsi="Times New Roman" w:cs="Times New Roman"/>
          <w:sz w:val="24"/>
          <w:szCs w:val="24"/>
        </w:rPr>
        <w:t>Na mocy zapisów nowej ustawy p</w:t>
      </w:r>
      <w:r w:rsidR="003C64FE" w:rsidRPr="003667E0">
        <w:rPr>
          <w:rFonts w:ascii="Times New Roman" w:hAnsi="Times New Roman" w:cs="Times New Roman"/>
          <w:sz w:val="24"/>
          <w:szCs w:val="24"/>
        </w:rPr>
        <w:t>odmioty uprawnione</w:t>
      </w:r>
      <w:r w:rsidR="003667E0">
        <w:rPr>
          <w:rFonts w:ascii="Times New Roman" w:hAnsi="Times New Roman" w:cs="Times New Roman"/>
          <w:sz w:val="24"/>
          <w:szCs w:val="24"/>
        </w:rPr>
        <w:t xml:space="preserve"> do badania sprawozdań finansowych</w:t>
      </w:r>
      <w:r w:rsidR="003C64FE" w:rsidRPr="003667E0">
        <w:rPr>
          <w:rFonts w:ascii="Times New Roman" w:hAnsi="Times New Roman" w:cs="Times New Roman"/>
          <w:sz w:val="24"/>
          <w:szCs w:val="24"/>
        </w:rPr>
        <w:t xml:space="preserve"> podzielono </w:t>
      </w:r>
      <w:r w:rsidR="005E3BE9">
        <w:rPr>
          <w:rFonts w:ascii="Times New Roman" w:hAnsi="Times New Roman" w:cs="Times New Roman"/>
          <w:sz w:val="24"/>
          <w:szCs w:val="24"/>
        </w:rPr>
        <w:t xml:space="preserve">na </w:t>
      </w:r>
      <w:r w:rsidR="003667E0">
        <w:rPr>
          <w:rFonts w:ascii="Times New Roman" w:hAnsi="Times New Roman" w:cs="Times New Roman"/>
          <w:sz w:val="24"/>
          <w:szCs w:val="24"/>
        </w:rPr>
        <w:t>dwie grupy</w:t>
      </w:r>
      <w:r w:rsidR="004873F5">
        <w:rPr>
          <w:rFonts w:ascii="Times New Roman" w:hAnsi="Times New Roman" w:cs="Times New Roman"/>
          <w:sz w:val="24"/>
          <w:szCs w:val="24"/>
        </w:rPr>
        <w:t xml:space="preserve"> (Ustawa o biegłych rewidentach, 2009)</w:t>
      </w:r>
      <w:r w:rsidR="003667E0">
        <w:rPr>
          <w:rFonts w:ascii="Times New Roman" w:hAnsi="Times New Roman" w:cs="Times New Roman"/>
          <w:sz w:val="24"/>
          <w:szCs w:val="24"/>
        </w:rPr>
        <w:t>:</w:t>
      </w:r>
    </w:p>
    <w:p w14:paraId="366866E5" w14:textId="77777777" w:rsidR="003667E0" w:rsidRDefault="003C64FE" w:rsidP="003667E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667E0">
        <w:rPr>
          <w:sz w:val="24"/>
          <w:szCs w:val="24"/>
        </w:rPr>
        <w:t>wykonujące czynności rewizji finansowej: zarówno w jednostkach zainteresowania publicznego (</w:t>
      </w:r>
      <w:r w:rsidR="00035B09">
        <w:rPr>
          <w:sz w:val="24"/>
          <w:szCs w:val="24"/>
        </w:rPr>
        <w:t>JZP</w:t>
      </w:r>
      <w:r w:rsidRPr="003667E0">
        <w:rPr>
          <w:sz w:val="24"/>
          <w:szCs w:val="24"/>
        </w:rPr>
        <w:t xml:space="preserve">), jak i w niezaliczanych do </w:t>
      </w:r>
      <w:r w:rsidR="00035B09">
        <w:rPr>
          <w:sz w:val="24"/>
          <w:szCs w:val="24"/>
        </w:rPr>
        <w:t>JZP</w:t>
      </w:r>
      <w:r w:rsidRPr="003667E0">
        <w:rPr>
          <w:sz w:val="24"/>
          <w:szCs w:val="24"/>
        </w:rPr>
        <w:t xml:space="preserve"> oraz</w:t>
      </w:r>
    </w:p>
    <w:p w14:paraId="5E4041B8" w14:textId="77777777" w:rsidR="003667E0" w:rsidRDefault="003667E0" w:rsidP="003667E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wykonujące</w:t>
      </w:r>
      <w:r w:rsidR="003C64FE" w:rsidRPr="003667E0">
        <w:rPr>
          <w:sz w:val="24"/>
          <w:szCs w:val="24"/>
        </w:rPr>
        <w:t xml:space="preserve"> </w:t>
      </w:r>
      <w:r w:rsidRPr="003667E0">
        <w:rPr>
          <w:sz w:val="24"/>
          <w:szCs w:val="24"/>
        </w:rPr>
        <w:t xml:space="preserve">czynności rewizji finansowej </w:t>
      </w:r>
      <w:r>
        <w:rPr>
          <w:sz w:val="24"/>
          <w:szCs w:val="24"/>
        </w:rPr>
        <w:t>tylko</w:t>
      </w:r>
      <w:r w:rsidR="003C64FE" w:rsidRPr="003667E0">
        <w:rPr>
          <w:sz w:val="24"/>
          <w:szCs w:val="24"/>
        </w:rPr>
        <w:t xml:space="preserve"> w jednostkach niezaliczanych do </w:t>
      </w:r>
      <w:r>
        <w:rPr>
          <w:sz w:val="24"/>
          <w:szCs w:val="24"/>
        </w:rPr>
        <w:t xml:space="preserve">jednostek </w:t>
      </w:r>
      <w:r w:rsidR="00035B09">
        <w:rPr>
          <w:sz w:val="24"/>
          <w:szCs w:val="24"/>
        </w:rPr>
        <w:t>zainteresowania</w:t>
      </w:r>
      <w:r>
        <w:rPr>
          <w:sz w:val="24"/>
          <w:szCs w:val="24"/>
        </w:rPr>
        <w:t xml:space="preserve"> publicznego </w:t>
      </w:r>
      <w:r w:rsidR="00035B09">
        <w:rPr>
          <w:sz w:val="24"/>
          <w:szCs w:val="24"/>
        </w:rPr>
        <w:t>JZP</w:t>
      </w:r>
      <w:r w:rsidR="003C64FE" w:rsidRPr="003667E0">
        <w:rPr>
          <w:sz w:val="24"/>
          <w:szCs w:val="24"/>
        </w:rPr>
        <w:t xml:space="preserve">. </w:t>
      </w:r>
    </w:p>
    <w:p w14:paraId="62262A93" w14:textId="77777777" w:rsidR="00D970CF" w:rsidRDefault="00D970CF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0CF">
        <w:rPr>
          <w:rFonts w:ascii="Times New Roman" w:hAnsi="Times New Roman" w:cs="Times New Roman"/>
          <w:sz w:val="24"/>
          <w:szCs w:val="24"/>
        </w:rPr>
        <w:t xml:space="preserve">Krajowe Standardy Rewizji Finansowej (KSRF) </w:t>
      </w:r>
      <w:r>
        <w:rPr>
          <w:rFonts w:ascii="Times New Roman" w:hAnsi="Times New Roman" w:cs="Times New Roman"/>
          <w:sz w:val="24"/>
          <w:szCs w:val="24"/>
        </w:rPr>
        <w:t>w brzmieniu</w:t>
      </w:r>
      <w:r w:rsidRPr="00D970CF">
        <w:rPr>
          <w:rFonts w:ascii="Times New Roman" w:hAnsi="Times New Roman" w:cs="Times New Roman"/>
          <w:sz w:val="24"/>
          <w:szCs w:val="24"/>
        </w:rPr>
        <w:t xml:space="preserve"> Międzynarodow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D970CF">
        <w:rPr>
          <w:rFonts w:ascii="Times New Roman" w:hAnsi="Times New Roman" w:cs="Times New Roman"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970CF">
        <w:rPr>
          <w:rFonts w:ascii="Times New Roman" w:hAnsi="Times New Roman" w:cs="Times New Roman"/>
          <w:sz w:val="24"/>
          <w:szCs w:val="24"/>
        </w:rPr>
        <w:t xml:space="preserve"> Badania (MSB)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70CF">
        <w:rPr>
          <w:rFonts w:ascii="Times New Roman" w:hAnsi="Times New Roman" w:cs="Times New Roman"/>
          <w:sz w:val="24"/>
          <w:szCs w:val="24"/>
        </w:rPr>
        <w:t xml:space="preserve"> Międzynarodow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D970CF">
        <w:rPr>
          <w:rFonts w:ascii="Times New Roman" w:hAnsi="Times New Roman" w:cs="Times New Roman"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970CF">
        <w:rPr>
          <w:rFonts w:ascii="Times New Roman" w:hAnsi="Times New Roman" w:cs="Times New Roman"/>
          <w:sz w:val="24"/>
          <w:szCs w:val="24"/>
        </w:rPr>
        <w:t xml:space="preserve"> Usług Przeglądu (MSUP), Międzynarodow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D970CF">
        <w:rPr>
          <w:rFonts w:ascii="Times New Roman" w:hAnsi="Times New Roman" w:cs="Times New Roman"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970CF">
        <w:rPr>
          <w:rFonts w:ascii="Times New Roman" w:hAnsi="Times New Roman" w:cs="Times New Roman"/>
          <w:sz w:val="24"/>
          <w:szCs w:val="24"/>
        </w:rPr>
        <w:t xml:space="preserve"> Usług Atestacyjnych </w:t>
      </w:r>
      <w:r w:rsidR="004873F5">
        <w:rPr>
          <w:rFonts w:ascii="Times New Roman" w:hAnsi="Times New Roman" w:cs="Times New Roman"/>
          <w:sz w:val="24"/>
          <w:szCs w:val="24"/>
        </w:rPr>
        <w:t>I</w:t>
      </w:r>
      <w:r w:rsidRPr="00D970CF">
        <w:rPr>
          <w:rFonts w:ascii="Times New Roman" w:hAnsi="Times New Roman" w:cs="Times New Roman"/>
          <w:sz w:val="24"/>
          <w:szCs w:val="24"/>
        </w:rPr>
        <w:t>nnych niż Badania i Przeglądy Historycznych Informacji Finansowych (MSUA)</w:t>
      </w:r>
      <w:r>
        <w:rPr>
          <w:rFonts w:ascii="Times New Roman" w:hAnsi="Times New Roman" w:cs="Times New Roman"/>
          <w:sz w:val="24"/>
          <w:szCs w:val="24"/>
        </w:rPr>
        <w:t xml:space="preserve"> oraz P</w:t>
      </w:r>
      <w:r w:rsidRPr="00D970CF">
        <w:rPr>
          <w:rFonts w:ascii="Times New Roman" w:hAnsi="Times New Roman" w:cs="Times New Roman"/>
          <w:sz w:val="24"/>
          <w:szCs w:val="24"/>
        </w:rPr>
        <w:t>rzedmow</w:t>
      </w:r>
      <w:r w:rsidR="004873F5">
        <w:rPr>
          <w:rFonts w:ascii="Times New Roman" w:hAnsi="Times New Roman" w:cs="Times New Roman"/>
          <w:sz w:val="24"/>
          <w:szCs w:val="24"/>
        </w:rPr>
        <w:t>a</w:t>
      </w:r>
      <w:r w:rsidRPr="00D970CF">
        <w:rPr>
          <w:rFonts w:ascii="Times New Roman" w:hAnsi="Times New Roman" w:cs="Times New Roman"/>
          <w:sz w:val="24"/>
          <w:szCs w:val="24"/>
        </w:rPr>
        <w:t xml:space="preserve"> do międzynarodowych standardów i innych dokumentów dotyczących kontroli jakości, badań, przeglądów, innych usług atestacyjnych i usług pokrewnych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970CF">
        <w:rPr>
          <w:rFonts w:ascii="Times New Roman" w:hAnsi="Times New Roman" w:cs="Times New Roman"/>
          <w:sz w:val="24"/>
          <w:szCs w:val="24"/>
        </w:rPr>
        <w:t>Międzynarodowe założenia koncepcyjne usług atestacyjnych</w:t>
      </w:r>
      <w:r>
        <w:rPr>
          <w:rFonts w:ascii="Times New Roman" w:hAnsi="Times New Roman" w:cs="Times New Roman"/>
          <w:sz w:val="24"/>
          <w:szCs w:val="24"/>
        </w:rPr>
        <w:t xml:space="preserve"> wydane przez </w:t>
      </w:r>
      <w:r w:rsidRPr="00D970CF">
        <w:rPr>
          <w:rFonts w:ascii="Times New Roman" w:hAnsi="Times New Roman" w:cs="Times New Roman"/>
          <w:sz w:val="24"/>
          <w:szCs w:val="24"/>
        </w:rPr>
        <w:t>Radę Międzynarodowych Standardów Rewizji Finansowej i Usług Atestacyjnych (IAASB)</w:t>
      </w:r>
      <w:r w:rsidR="004873F5">
        <w:rPr>
          <w:rFonts w:ascii="Times New Roman" w:hAnsi="Times New Roman" w:cs="Times New Roman"/>
          <w:sz w:val="24"/>
          <w:szCs w:val="24"/>
        </w:rPr>
        <w:t xml:space="preserve"> zostały przyjęte </w:t>
      </w:r>
      <w:r w:rsidR="004873F5" w:rsidRPr="00D970CF">
        <w:rPr>
          <w:rFonts w:ascii="Times New Roman" w:hAnsi="Times New Roman" w:cs="Times New Roman"/>
          <w:sz w:val="24"/>
          <w:szCs w:val="24"/>
        </w:rPr>
        <w:t>uchwał</w:t>
      </w:r>
      <w:r w:rsidR="004873F5">
        <w:rPr>
          <w:rFonts w:ascii="Times New Roman" w:hAnsi="Times New Roman" w:cs="Times New Roman"/>
          <w:sz w:val="24"/>
          <w:szCs w:val="24"/>
        </w:rPr>
        <w:t xml:space="preserve">ą </w:t>
      </w:r>
      <w:r w:rsidR="004873F5" w:rsidRPr="00D970CF">
        <w:rPr>
          <w:rFonts w:ascii="Times New Roman" w:hAnsi="Times New Roman" w:cs="Times New Roman"/>
          <w:sz w:val="24"/>
          <w:szCs w:val="24"/>
        </w:rPr>
        <w:t>z 10 lutego 2015 r.</w:t>
      </w:r>
      <w:r w:rsidR="004873F5">
        <w:rPr>
          <w:rFonts w:ascii="Times New Roman" w:hAnsi="Times New Roman" w:cs="Times New Roman"/>
          <w:sz w:val="24"/>
          <w:szCs w:val="24"/>
        </w:rPr>
        <w:t xml:space="preserve"> przez Krajowa Rada Biegłych Rewidentów (Uchwała KRBR, 2015)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3C3778" w14:textId="77777777" w:rsidR="001B01F7" w:rsidRDefault="00D970CF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Międzynarodowe standardy rewizji finansowej stały się regulacjami krajowymi i m</w:t>
      </w:r>
      <w:r w:rsidR="001B01F7">
        <w:rPr>
          <w:rFonts w:ascii="Times New Roman" w:hAnsi="Times New Roman" w:cs="Times New Roman"/>
          <w:sz w:val="24"/>
          <w:szCs w:val="24"/>
        </w:rPr>
        <w:t xml:space="preserve">usiały być obligatoryjnie stosowane przez </w:t>
      </w:r>
      <w:r w:rsidR="00035B09">
        <w:rPr>
          <w:rFonts w:ascii="Times New Roman" w:hAnsi="Times New Roman" w:cs="Times New Roman"/>
          <w:sz w:val="24"/>
          <w:szCs w:val="24"/>
        </w:rPr>
        <w:t>podmioty uprawnione do badań sprawozdań finansowych</w:t>
      </w:r>
      <w:r w:rsidR="006E0304">
        <w:rPr>
          <w:rFonts w:ascii="Times New Roman" w:hAnsi="Times New Roman" w:cs="Times New Roman"/>
          <w:sz w:val="24"/>
          <w:szCs w:val="24"/>
        </w:rPr>
        <w:t xml:space="preserve"> ((Uchwała KRBR, 2015)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28F047" w14:textId="77777777" w:rsidR="001B01F7" w:rsidRPr="001B01F7" w:rsidRDefault="001B01F7" w:rsidP="004873F5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B01F7">
        <w:rPr>
          <w:sz w:val="24"/>
          <w:szCs w:val="24"/>
        </w:rPr>
        <w:t>wykonując</w:t>
      </w:r>
      <w:r w:rsidR="005736A7">
        <w:rPr>
          <w:sz w:val="24"/>
          <w:szCs w:val="24"/>
        </w:rPr>
        <w:t>e</w:t>
      </w:r>
      <w:r w:rsidRPr="001B01F7">
        <w:rPr>
          <w:sz w:val="24"/>
          <w:szCs w:val="24"/>
        </w:rPr>
        <w:t xml:space="preserve"> </w:t>
      </w:r>
      <w:r w:rsidR="00414AF6" w:rsidRPr="001B01F7">
        <w:rPr>
          <w:sz w:val="24"/>
          <w:szCs w:val="24"/>
        </w:rPr>
        <w:t xml:space="preserve">badania rocznych sprawozdań finansowych </w:t>
      </w:r>
      <w:r>
        <w:rPr>
          <w:sz w:val="24"/>
          <w:szCs w:val="24"/>
        </w:rPr>
        <w:t>lub</w:t>
      </w:r>
      <w:r w:rsidR="00414AF6" w:rsidRPr="001B01F7">
        <w:rPr>
          <w:sz w:val="24"/>
          <w:szCs w:val="24"/>
        </w:rPr>
        <w:t xml:space="preserve"> przegląd</w:t>
      </w:r>
      <w:r w:rsidR="005736A7">
        <w:rPr>
          <w:sz w:val="24"/>
          <w:szCs w:val="24"/>
        </w:rPr>
        <w:t>y</w:t>
      </w:r>
      <w:r w:rsidR="00414AF6" w:rsidRPr="001B01F7">
        <w:rPr>
          <w:sz w:val="24"/>
          <w:szCs w:val="24"/>
        </w:rPr>
        <w:t xml:space="preserve"> </w:t>
      </w:r>
      <w:r w:rsidRPr="001B01F7">
        <w:rPr>
          <w:sz w:val="24"/>
          <w:szCs w:val="24"/>
        </w:rPr>
        <w:t xml:space="preserve">sprawozdań finansowych </w:t>
      </w:r>
      <w:r w:rsidR="00414AF6" w:rsidRPr="001B01F7">
        <w:rPr>
          <w:sz w:val="24"/>
          <w:szCs w:val="24"/>
        </w:rPr>
        <w:t>jednostek zainteresowania publicznego (</w:t>
      </w:r>
      <w:r w:rsidR="00035B09">
        <w:rPr>
          <w:sz w:val="24"/>
          <w:szCs w:val="24"/>
        </w:rPr>
        <w:t>JZP</w:t>
      </w:r>
      <w:r w:rsidR="00414AF6" w:rsidRPr="001B01F7">
        <w:rPr>
          <w:sz w:val="24"/>
          <w:szCs w:val="24"/>
        </w:rPr>
        <w:t>)</w:t>
      </w:r>
      <w:r w:rsidR="005736A7">
        <w:rPr>
          <w:rStyle w:val="Odwoanieprzypisudolnego"/>
          <w:sz w:val="24"/>
          <w:szCs w:val="24"/>
        </w:rPr>
        <w:footnoteReference w:id="2"/>
      </w:r>
      <w:r w:rsidR="00414AF6" w:rsidRPr="001B01F7">
        <w:rPr>
          <w:sz w:val="24"/>
          <w:szCs w:val="24"/>
        </w:rPr>
        <w:t xml:space="preserve"> sporządzonych za okresy kończące się 31 grudnia 2016 r. i później</w:t>
      </w:r>
      <w:r w:rsidRPr="001B01F7">
        <w:rPr>
          <w:sz w:val="24"/>
          <w:szCs w:val="24"/>
        </w:rPr>
        <w:t>,</w:t>
      </w:r>
    </w:p>
    <w:p w14:paraId="4F96AD08" w14:textId="77777777" w:rsidR="001B01F7" w:rsidRDefault="005736A7" w:rsidP="004873F5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wykonujące</w:t>
      </w:r>
      <w:r w:rsidR="001B01F7" w:rsidRPr="001B01F7">
        <w:rPr>
          <w:sz w:val="24"/>
          <w:szCs w:val="24"/>
        </w:rPr>
        <w:t xml:space="preserve"> badania rocznych sprawozdań finansowych </w:t>
      </w:r>
      <w:r w:rsidR="001B01F7">
        <w:rPr>
          <w:sz w:val="24"/>
          <w:szCs w:val="24"/>
        </w:rPr>
        <w:t>lub</w:t>
      </w:r>
      <w:r w:rsidR="001B01F7" w:rsidRPr="001B01F7">
        <w:rPr>
          <w:sz w:val="24"/>
          <w:szCs w:val="24"/>
        </w:rPr>
        <w:t xml:space="preserve"> przeglądów sprawozdań finansowych jednostek </w:t>
      </w:r>
      <w:r>
        <w:rPr>
          <w:sz w:val="24"/>
          <w:szCs w:val="24"/>
        </w:rPr>
        <w:t>nie będących</w:t>
      </w:r>
      <w:r w:rsidR="008E7AB0">
        <w:rPr>
          <w:sz w:val="24"/>
          <w:szCs w:val="24"/>
        </w:rPr>
        <w:t xml:space="preserve"> jednostkami</w:t>
      </w:r>
      <w:r>
        <w:rPr>
          <w:sz w:val="24"/>
          <w:szCs w:val="24"/>
        </w:rPr>
        <w:t xml:space="preserve"> </w:t>
      </w:r>
      <w:r w:rsidR="001B01F7" w:rsidRPr="001B01F7">
        <w:rPr>
          <w:sz w:val="24"/>
          <w:szCs w:val="24"/>
        </w:rPr>
        <w:t>zainteresowania publicznego (</w:t>
      </w:r>
      <w:r w:rsidR="00035B09">
        <w:rPr>
          <w:sz w:val="24"/>
          <w:szCs w:val="24"/>
        </w:rPr>
        <w:t>JZP</w:t>
      </w:r>
      <w:r w:rsidR="001B01F7" w:rsidRPr="001B01F7">
        <w:rPr>
          <w:sz w:val="24"/>
          <w:szCs w:val="24"/>
        </w:rPr>
        <w:t>) sporządzonych za okresy kończące 31 grudnia 2017 r. i później</w:t>
      </w:r>
      <w:r w:rsidR="001B01F7">
        <w:rPr>
          <w:sz w:val="24"/>
          <w:szCs w:val="24"/>
        </w:rPr>
        <w:t>,</w:t>
      </w:r>
    </w:p>
    <w:p w14:paraId="6278F28E" w14:textId="77777777" w:rsidR="001B01F7" w:rsidRDefault="005736A7" w:rsidP="004873F5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wykonujące</w:t>
      </w:r>
      <w:r w:rsidR="001B01F7" w:rsidRPr="001B01F7">
        <w:rPr>
          <w:sz w:val="24"/>
          <w:szCs w:val="24"/>
        </w:rPr>
        <w:t xml:space="preserve"> usług</w:t>
      </w:r>
      <w:r>
        <w:rPr>
          <w:sz w:val="24"/>
          <w:szCs w:val="24"/>
        </w:rPr>
        <w:t>i</w:t>
      </w:r>
      <w:r w:rsidR="001B01F7" w:rsidRPr="001B01F7">
        <w:rPr>
          <w:sz w:val="24"/>
          <w:szCs w:val="24"/>
        </w:rPr>
        <w:t xml:space="preserve"> atestacyjn</w:t>
      </w:r>
      <w:r>
        <w:rPr>
          <w:sz w:val="24"/>
          <w:szCs w:val="24"/>
        </w:rPr>
        <w:t>e</w:t>
      </w:r>
      <w:r w:rsidR="001B01F7" w:rsidRPr="001B01F7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="001B01F7" w:rsidRPr="001B01F7">
        <w:rPr>
          <w:sz w:val="24"/>
          <w:szCs w:val="24"/>
        </w:rPr>
        <w:t xml:space="preserve"> niż badania i przeglądy historycznych informacji finansowych rozpoczęt</w:t>
      </w:r>
      <w:r>
        <w:rPr>
          <w:sz w:val="24"/>
          <w:szCs w:val="24"/>
        </w:rPr>
        <w:t>e po</w:t>
      </w:r>
      <w:r w:rsidR="001B01F7" w:rsidRPr="001B01F7">
        <w:rPr>
          <w:sz w:val="24"/>
          <w:szCs w:val="24"/>
        </w:rPr>
        <w:t xml:space="preserve"> 1 stycznia 2017 r. i później</w:t>
      </w:r>
      <w:r>
        <w:rPr>
          <w:sz w:val="24"/>
          <w:szCs w:val="24"/>
        </w:rPr>
        <w:t>.</w:t>
      </w:r>
    </w:p>
    <w:p w14:paraId="54FE2BF1" w14:textId="77777777" w:rsidR="005736A7" w:rsidRPr="003F5600" w:rsidRDefault="005736A7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600">
        <w:rPr>
          <w:rFonts w:ascii="Times New Roman" w:hAnsi="Times New Roman" w:cs="Times New Roman"/>
          <w:sz w:val="24"/>
          <w:szCs w:val="24"/>
        </w:rPr>
        <w:t xml:space="preserve">Istotne zmiany </w:t>
      </w:r>
      <w:r w:rsidR="008E7AB0" w:rsidRPr="003F5600">
        <w:rPr>
          <w:rFonts w:ascii="Times New Roman" w:hAnsi="Times New Roman" w:cs="Times New Roman"/>
          <w:sz w:val="24"/>
          <w:szCs w:val="24"/>
        </w:rPr>
        <w:t xml:space="preserve">w zakresie systemu kontroli wewnętrznej </w:t>
      </w:r>
      <w:r w:rsidRPr="003F5600">
        <w:rPr>
          <w:rFonts w:ascii="Times New Roman" w:hAnsi="Times New Roman" w:cs="Times New Roman"/>
          <w:sz w:val="24"/>
          <w:szCs w:val="24"/>
        </w:rPr>
        <w:t>zostały również wprowadzone uchwałą KRBR nr 2784/52/2015 z dnia 10</w:t>
      </w:r>
      <w:r w:rsidR="003F5600">
        <w:rPr>
          <w:rFonts w:ascii="Times New Roman" w:hAnsi="Times New Roman" w:cs="Times New Roman"/>
          <w:sz w:val="24"/>
          <w:szCs w:val="24"/>
        </w:rPr>
        <w:t> </w:t>
      </w:r>
      <w:r w:rsidRPr="003F5600">
        <w:rPr>
          <w:rFonts w:ascii="Times New Roman" w:hAnsi="Times New Roman" w:cs="Times New Roman"/>
          <w:sz w:val="24"/>
          <w:szCs w:val="24"/>
        </w:rPr>
        <w:t>lutego</w:t>
      </w:r>
      <w:r w:rsidR="00E516C0" w:rsidRPr="003F5600">
        <w:rPr>
          <w:rFonts w:ascii="Times New Roman" w:hAnsi="Times New Roman" w:cs="Times New Roman"/>
          <w:sz w:val="24"/>
          <w:szCs w:val="24"/>
        </w:rPr>
        <w:t> </w:t>
      </w:r>
      <w:r w:rsidRPr="003F5600">
        <w:rPr>
          <w:rFonts w:ascii="Times New Roman" w:hAnsi="Times New Roman" w:cs="Times New Roman"/>
          <w:sz w:val="24"/>
          <w:szCs w:val="24"/>
        </w:rPr>
        <w:t xml:space="preserve">2015 r. </w:t>
      </w:r>
      <w:r w:rsidR="001B01F7" w:rsidRPr="003F5600">
        <w:rPr>
          <w:rFonts w:ascii="Times New Roman" w:hAnsi="Times New Roman" w:cs="Times New Roman"/>
          <w:sz w:val="24"/>
          <w:szCs w:val="24"/>
        </w:rPr>
        <w:t xml:space="preserve">Podmioty </w:t>
      </w:r>
      <w:r w:rsidRPr="003F5600">
        <w:rPr>
          <w:rFonts w:ascii="Times New Roman" w:hAnsi="Times New Roman" w:cs="Times New Roman"/>
          <w:sz w:val="24"/>
          <w:szCs w:val="24"/>
        </w:rPr>
        <w:t>uprawnione wykonujące badania rocznych sprawozdań finansowych lub przeglądy sprawozdań finansowych jednostek zainteresowania publicznego (</w:t>
      </w:r>
      <w:r w:rsidR="00035B09">
        <w:rPr>
          <w:rFonts w:ascii="Times New Roman" w:hAnsi="Times New Roman" w:cs="Times New Roman"/>
          <w:sz w:val="24"/>
          <w:szCs w:val="24"/>
        </w:rPr>
        <w:t>JZP</w:t>
      </w:r>
      <w:r w:rsidRPr="003F5600">
        <w:rPr>
          <w:rFonts w:ascii="Times New Roman" w:hAnsi="Times New Roman" w:cs="Times New Roman"/>
          <w:sz w:val="24"/>
          <w:szCs w:val="24"/>
        </w:rPr>
        <w:t>) sporządzonych za okresy kończące się pomiędzy dniem 31</w:t>
      </w:r>
      <w:r w:rsidR="00E516C0" w:rsidRPr="003F5600">
        <w:rPr>
          <w:rFonts w:ascii="Times New Roman" w:hAnsi="Times New Roman" w:cs="Times New Roman"/>
          <w:sz w:val="24"/>
          <w:szCs w:val="24"/>
        </w:rPr>
        <w:t> </w:t>
      </w:r>
      <w:r w:rsidRPr="003F5600">
        <w:rPr>
          <w:rFonts w:ascii="Times New Roman" w:hAnsi="Times New Roman" w:cs="Times New Roman"/>
          <w:sz w:val="24"/>
          <w:szCs w:val="24"/>
        </w:rPr>
        <w:t xml:space="preserve">grudnia 2016 r. a dniem 31 grudnia 2017 r. miały obowiązek ustanowienia i stosowania </w:t>
      </w:r>
      <w:r w:rsidRPr="003F5600">
        <w:rPr>
          <w:rFonts w:ascii="Times New Roman" w:hAnsi="Times New Roman" w:cs="Times New Roman"/>
          <w:sz w:val="24"/>
          <w:szCs w:val="24"/>
        </w:rPr>
        <w:lastRenderedPageBreak/>
        <w:t xml:space="preserve">kontroli jakości podmiotu uprawnionego zgodnie z </w:t>
      </w:r>
      <w:r w:rsidR="009261F0" w:rsidRPr="003F5600">
        <w:rPr>
          <w:rFonts w:ascii="Times New Roman" w:hAnsi="Times New Roman" w:cs="Times New Roman"/>
          <w:sz w:val="24"/>
          <w:szCs w:val="24"/>
        </w:rPr>
        <w:t>zasadami wynikającymi z MSKJ od</w:t>
      </w:r>
      <w:r w:rsidRPr="003F5600">
        <w:rPr>
          <w:rFonts w:ascii="Times New Roman" w:hAnsi="Times New Roman" w:cs="Times New Roman"/>
          <w:sz w:val="24"/>
          <w:szCs w:val="24"/>
        </w:rPr>
        <w:t xml:space="preserve"> 1</w:t>
      </w:r>
      <w:r w:rsidR="00E516C0" w:rsidRPr="003F5600">
        <w:rPr>
          <w:rFonts w:ascii="Times New Roman" w:hAnsi="Times New Roman" w:cs="Times New Roman"/>
          <w:sz w:val="24"/>
          <w:szCs w:val="24"/>
        </w:rPr>
        <w:t> </w:t>
      </w:r>
      <w:r w:rsidRPr="003F5600">
        <w:rPr>
          <w:rFonts w:ascii="Times New Roman" w:hAnsi="Times New Roman" w:cs="Times New Roman"/>
          <w:sz w:val="24"/>
          <w:szCs w:val="24"/>
        </w:rPr>
        <w:t>stycznia 2016 r.</w:t>
      </w:r>
      <w:r w:rsidR="008E7AB0">
        <w:rPr>
          <w:rFonts w:ascii="Times New Roman" w:hAnsi="Times New Roman" w:cs="Times New Roman"/>
          <w:sz w:val="24"/>
          <w:szCs w:val="24"/>
        </w:rPr>
        <w:t>,</w:t>
      </w:r>
      <w:r w:rsidRPr="003F5600">
        <w:rPr>
          <w:rFonts w:ascii="Times New Roman" w:hAnsi="Times New Roman" w:cs="Times New Roman"/>
          <w:sz w:val="24"/>
          <w:szCs w:val="24"/>
        </w:rPr>
        <w:t xml:space="preserve"> </w:t>
      </w:r>
      <w:r w:rsidR="009261F0" w:rsidRPr="003F5600">
        <w:rPr>
          <w:rFonts w:ascii="Times New Roman" w:hAnsi="Times New Roman" w:cs="Times New Roman"/>
          <w:sz w:val="24"/>
          <w:szCs w:val="24"/>
        </w:rPr>
        <w:t>a p</w:t>
      </w:r>
      <w:r w:rsidRPr="003F5600">
        <w:rPr>
          <w:rFonts w:ascii="Times New Roman" w:hAnsi="Times New Roman" w:cs="Times New Roman"/>
          <w:sz w:val="24"/>
          <w:szCs w:val="24"/>
        </w:rPr>
        <w:t xml:space="preserve">ozostałe </w:t>
      </w:r>
      <w:r w:rsidR="009261F0" w:rsidRPr="003F5600">
        <w:rPr>
          <w:rFonts w:ascii="Times New Roman" w:hAnsi="Times New Roman" w:cs="Times New Roman"/>
          <w:sz w:val="24"/>
          <w:szCs w:val="24"/>
        </w:rPr>
        <w:t>podmiot</w:t>
      </w:r>
      <w:r w:rsidR="008E7AB0">
        <w:rPr>
          <w:rFonts w:ascii="Times New Roman" w:hAnsi="Times New Roman" w:cs="Times New Roman"/>
          <w:sz w:val="24"/>
          <w:szCs w:val="24"/>
        </w:rPr>
        <w:t>y</w:t>
      </w:r>
      <w:r w:rsidR="009261F0" w:rsidRPr="003F5600">
        <w:rPr>
          <w:rFonts w:ascii="Times New Roman" w:hAnsi="Times New Roman" w:cs="Times New Roman"/>
          <w:sz w:val="24"/>
          <w:szCs w:val="24"/>
        </w:rPr>
        <w:t xml:space="preserve"> uprawnione od</w:t>
      </w:r>
      <w:r w:rsidRPr="003F5600">
        <w:rPr>
          <w:rFonts w:ascii="Times New Roman" w:hAnsi="Times New Roman" w:cs="Times New Roman"/>
          <w:sz w:val="24"/>
          <w:szCs w:val="24"/>
        </w:rPr>
        <w:t xml:space="preserve"> 1 stycznia 2017 r.</w:t>
      </w:r>
      <w:r w:rsidR="009261F0" w:rsidRPr="003F5600">
        <w:rPr>
          <w:rFonts w:ascii="Times New Roman" w:hAnsi="Times New Roman" w:cs="Times New Roman"/>
          <w:sz w:val="24"/>
          <w:szCs w:val="24"/>
        </w:rPr>
        <w:t xml:space="preserve"> Podmioty uprawnione </w:t>
      </w:r>
      <w:r w:rsidRPr="003F5600">
        <w:rPr>
          <w:rFonts w:ascii="Times New Roman" w:hAnsi="Times New Roman" w:cs="Times New Roman"/>
          <w:sz w:val="24"/>
          <w:szCs w:val="24"/>
        </w:rPr>
        <w:t>mogły stosować MSB wcześniej</w:t>
      </w:r>
      <w:r w:rsidR="008E7AB0">
        <w:rPr>
          <w:rFonts w:ascii="Times New Roman" w:hAnsi="Times New Roman" w:cs="Times New Roman"/>
          <w:sz w:val="24"/>
          <w:szCs w:val="24"/>
        </w:rPr>
        <w:t>,</w:t>
      </w:r>
      <w:r w:rsidRPr="003F5600">
        <w:rPr>
          <w:rFonts w:ascii="Times New Roman" w:hAnsi="Times New Roman" w:cs="Times New Roman"/>
          <w:sz w:val="24"/>
          <w:szCs w:val="24"/>
        </w:rPr>
        <w:t xml:space="preserve"> pod warunkiem </w:t>
      </w:r>
      <w:r w:rsidR="009261F0" w:rsidRPr="003F5600">
        <w:rPr>
          <w:rFonts w:ascii="Times New Roman" w:hAnsi="Times New Roman" w:cs="Times New Roman"/>
          <w:sz w:val="24"/>
          <w:szCs w:val="24"/>
        </w:rPr>
        <w:t xml:space="preserve">wprowadzenia </w:t>
      </w:r>
      <w:r w:rsidRPr="003F5600">
        <w:rPr>
          <w:rFonts w:ascii="Times New Roman" w:hAnsi="Times New Roman" w:cs="Times New Roman"/>
          <w:sz w:val="24"/>
          <w:szCs w:val="24"/>
        </w:rPr>
        <w:t xml:space="preserve">nowych zasad kontroli </w:t>
      </w:r>
      <w:r w:rsidR="0071040B" w:rsidRPr="003F5600">
        <w:rPr>
          <w:rFonts w:ascii="Times New Roman" w:hAnsi="Times New Roman" w:cs="Times New Roman"/>
          <w:sz w:val="24"/>
          <w:szCs w:val="24"/>
        </w:rPr>
        <w:t>wewnętrzn</w:t>
      </w:r>
      <w:r w:rsidR="0071040B">
        <w:rPr>
          <w:rFonts w:ascii="Times New Roman" w:hAnsi="Times New Roman" w:cs="Times New Roman"/>
          <w:sz w:val="24"/>
          <w:szCs w:val="24"/>
        </w:rPr>
        <w:t>ej</w:t>
      </w:r>
      <w:r w:rsidRPr="003F5600">
        <w:rPr>
          <w:rFonts w:ascii="Times New Roman" w:hAnsi="Times New Roman" w:cs="Times New Roman"/>
          <w:sz w:val="24"/>
          <w:szCs w:val="24"/>
        </w:rPr>
        <w:t xml:space="preserve"> (MSKJ 1) </w:t>
      </w:r>
      <w:r w:rsidR="009261F0" w:rsidRPr="003F5600">
        <w:rPr>
          <w:rFonts w:ascii="Times New Roman" w:hAnsi="Times New Roman" w:cs="Times New Roman"/>
          <w:sz w:val="24"/>
          <w:szCs w:val="24"/>
        </w:rPr>
        <w:t>i</w:t>
      </w:r>
      <w:r w:rsidRPr="003F5600">
        <w:rPr>
          <w:rFonts w:ascii="Times New Roman" w:hAnsi="Times New Roman" w:cs="Times New Roman"/>
          <w:sz w:val="24"/>
          <w:szCs w:val="24"/>
        </w:rPr>
        <w:t xml:space="preserve"> poinformowania o tym Krajow</w:t>
      </w:r>
      <w:r w:rsidR="009261F0" w:rsidRPr="003F5600">
        <w:rPr>
          <w:rFonts w:ascii="Times New Roman" w:hAnsi="Times New Roman" w:cs="Times New Roman"/>
          <w:sz w:val="24"/>
          <w:szCs w:val="24"/>
        </w:rPr>
        <w:t>ej</w:t>
      </w:r>
      <w:r w:rsidRPr="003F5600">
        <w:rPr>
          <w:rFonts w:ascii="Times New Roman" w:hAnsi="Times New Roman" w:cs="Times New Roman"/>
          <w:sz w:val="24"/>
          <w:szCs w:val="24"/>
        </w:rPr>
        <w:t xml:space="preserve"> Komisj</w:t>
      </w:r>
      <w:r w:rsidR="009261F0" w:rsidRPr="003F5600">
        <w:rPr>
          <w:rFonts w:ascii="Times New Roman" w:hAnsi="Times New Roman" w:cs="Times New Roman"/>
          <w:sz w:val="24"/>
          <w:szCs w:val="24"/>
        </w:rPr>
        <w:t>i</w:t>
      </w:r>
      <w:r w:rsidRPr="003F5600">
        <w:rPr>
          <w:rFonts w:ascii="Times New Roman" w:hAnsi="Times New Roman" w:cs="Times New Roman"/>
          <w:sz w:val="24"/>
          <w:szCs w:val="24"/>
        </w:rPr>
        <w:t xml:space="preserve"> Nadzoru. </w:t>
      </w:r>
    </w:p>
    <w:p w14:paraId="35E8AE25" w14:textId="77777777" w:rsidR="001D6D42" w:rsidRDefault="009261F0" w:rsidP="00E516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Największą zmianą w metodologii przeprowadzania badania sprawozdania finansowego wg MSB było podejście do badania sprawozdania finansowego w oparciu o oszacowanie ryzyka istotnego zniekształcenia</w:t>
      </w:r>
      <w:r w:rsidR="0037408A">
        <w:rPr>
          <w:rFonts w:ascii="Times New Roman" w:hAnsi="Times New Roman" w:cs="Times New Roman"/>
          <w:sz w:val="24"/>
          <w:szCs w:val="24"/>
        </w:rPr>
        <w:t xml:space="preserve">, w którym biegły rewident powinien znaleźć </w:t>
      </w:r>
      <w:r w:rsidR="000D50E8">
        <w:rPr>
          <w:rFonts w:ascii="Times New Roman" w:hAnsi="Times New Roman" w:cs="Times New Roman"/>
          <w:sz w:val="24"/>
          <w:szCs w:val="24"/>
        </w:rPr>
        <w:t>odpowiedz</w:t>
      </w:r>
      <w:r w:rsidR="0037408A">
        <w:rPr>
          <w:rFonts w:ascii="Times New Roman" w:hAnsi="Times New Roman" w:cs="Times New Roman"/>
          <w:sz w:val="24"/>
          <w:szCs w:val="24"/>
        </w:rPr>
        <w:t xml:space="preserve"> na pytanie, jakie czynniki ryzyka wynikające z prowadzonej działalności gospodarczej </w:t>
      </w:r>
      <w:r w:rsidR="0037408A" w:rsidRPr="0037408A">
        <w:rPr>
          <w:rFonts w:ascii="Times New Roman" w:hAnsi="Times New Roman" w:cs="Times New Roman"/>
          <w:sz w:val="24"/>
          <w:szCs w:val="24"/>
        </w:rPr>
        <w:t>mogłyby spowodować</w:t>
      </w:r>
      <w:r w:rsidR="0037408A">
        <w:rPr>
          <w:rFonts w:ascii="Times New Roman" w:hAnsi="Times New Roman" w:cs="Times New Roman"/>
          <w:sz w:val="24"/>
          <w:szCs w:val="24"/>
        </w:rPr>
        <w:t xml:space="preserve"> </w:t>
      </w:r>
      <w:r w:rsidR="0037408A" w:rsidRPr="0037408A">
        <w:rPr>
          <w:rFonts w:ascii="Times New Roman" w:hAnsi="Times New Roman" w:cs="Times New Roman"/>
          <w:sz w:val="24"/>
          <w:szCs w:val="24"/>
        </w:rPr>
        <w:t>istotne zniekształcenie</w:t>
      </w:r>
      <w:r w:rsidR="0037408A">
        <w:rPr>
          <w:rFonts w:ascii="Times New Roman" w:hAnsi="Times New Roman" w:cs="Times New Roman"/>
          <w:sz w:val="24"/>
          <w:szCs w:val="24"/>
        </w:rPr>
        <w:t xml:space="preserve"> </w:t>
      </w:r>
      <w:r w:rsidR="0037408A" w:rsidRPr="0037408A">
        <w:rPr>
          <w:rFonts w:ascii="Times New Roman" w:hAnsi="Times New Roman" w:cs="Times New Roman"/>
          <w:sz w:val="24"/>
          <w:szCs w:val="24"/>
        </w:rPr>
        <w:t xml:space="preserve">w </w:t>
      </w:r>
      <w:r w:rsidR="0037408A">
        <w:rPr>
          <w:rFonts w:ascii="Times New Roman" w:hAnsi="Times New Roman" w:cs="Times New Roman"/>
          <w:sz w:val="24"/>
          <w:szCs w:val="24"/>
        </w:rPr>
        <w:t xml:space="preserve">badanym </w:t>
      </w:r>
      <w:r w:rsidR="0037408A" w:rsidRPr="0037408A">
        <w:rPr>
          <w:rFonts w:ascii="Times New Roman" w:hAnsi="Times New Roman" w:cs="Times New Roman"/>
          <w:sz w:val="24"/>
          <w:szCs w:val="24"/>
        </w:rPr>
        <w:t>sprawozdaniu</w:t>
      </w:r>
      <w:r w:rsidR="0037408A">
        <w:rPr>
          <w:rFonts w:ascii="Times New Roman" w:hAnsi="Times New Roman" w:cs="Times New Roman"/>
          <w:sz w:val="24"/>
          <w:szCs w:val="24"/>
        </w:rPr>
        <w:t xml:space="preserve"> </w:t>
      </w:r>
      <w:r w:rsidR="0037408A" w:rsidRPr="0037408A">
        <w:rPr>
          <w:rFonts w:ascii="Times New Roman" w:hAnsi="Times New Roman" w:cs="Times New Roman"/>
          <w:sz w:val="24"/>
          <w:szCs w:val="24"/>
        </w:rPr>
        <w:t>finansowym</w:t>
      </w:r>
      <w:r w:rsidR="0037408A">
        <w:rPr>
          <w:rFonts w:ascii="Times New Roman" w:hAnsi="Times New Roman" w:cs="Times New Roman"/>
          <w:sz w:val="24"/>
          <w:szCs w:val="24"/>
        </w:rPr>
        <w:t>.</w:t>
      </w:r>
      <w:r w:rsidR="00E516C0">
        <w:rPr>
          <w:rFonts w:ascii="Times New Roman" w:hAnsi="Times New Roman" w:cs="Times New Roman"/>
          <w:sz w:val="24"/>
          <w:szCs w:val="24"/>
        </w:rPr>
        <w:t xml:space="preserve"> Identyfikacja i oszacowanie ryzyka istotnego zniekształcenia jest możliwa jedynie poprzez poznanie jednostki i jej otoczenia gospodarczego. </w:t>
      </w:r>
    </w:p>
    <w:p w14:paraId="3A6D8301" w14:textId="77777777" w:rsidR="003F5600" w:rsidRDefault="00E516C0" w:rsidP="003F560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0347200"/>
      <w:r>
        <w:rPr>
          <w:rFonts w:ascii="Times New Roman" w:hAnsi="Times New Roman" w:cs="Times New Roman"/>
          <w:sz w:val="24"/>
          <w:szCs w:val="24"/>
        </w:rPr>
        <w:t>MSB obligują biegłego rewidenta</w:t>
      </w:r>
      <w:r w:rsidR="009D2077">
        <w:rPr>
          <w:rFonts w:ascii="Times New Roman" w:hAnsi="Times New Roman" w:cs="Times New Roman"/>
          <w:sz w:val="24"/>
          <w:szCs w:val="24"/>
        </w:rPr>
        <w:t>, aby na etapie oszacowania ryzyka istotnego zniekształcenia</w:t>
      </w:r>
      <w:r>
        <w:rPr>
          <w:rFonts w:ascii="Times New Roman" w:hAnsi="Times New Roman" w:cs="Times New Roman"/>
          <w:sz w:val="24"/>
          <w:szCs w:val="24"/>
        </w:rPr>
        <w:t xml:space="preserve"> wykona</w:t>
      </w:r>
      <w:r w:rsidR="009D20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procedur</w:t>
      </w:r>
      <w:r w:rsidR="009D207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badania identyfik</w:t>
      </w:r>
      <w:r w:rsidR="00FE3E4D">
        <w:rPr>
          <w:rFonts w:ascii="Times New Roman" w:hAnsi="Times New Roman" w:cs="Times New Roman"/>
          <w:sz w:val="24"/>
          <w:szCs w:val="24"/>
        </w:rPr>
        <w:t>ując</w:t>
      </w:r>
      <w:r w:rsidR="009D207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proces</w:t>
      </w:r>
      <w:r w:rsidR="00FE3E4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kontroli wewnętrznej w jednostce istotn</w:t>
      </w:r>
      <w:r w:rsidR="00FE3E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FE3E4D">
        <w:rPr>
          <w:rFonts w:ascii="Times New Roman" w:hAnsi="Times New Roman" w:cs="Times New Roman"/>
          <w:sz w:val="24"/>
          <w:szCs w:val="24"/>
        </w:rPr>
        <w:t xml:space="preserve">sprawozdawczości finansowej oraz </w:t>
      </w:r>
      <w:r>
        <w:rPr>
          <w:rFonts w:ascii="Times New Roman" w:hAnsi="Times New Roman" w:cs="Times New Roman"/>
          <w:sz w:val="24"/>
          <w:szCs w:val="24"/>
        </w:rPr>
        <w:t>ocen</w:t>
      </w:r>
      <w:r w:rsidR="009D2077">
        <w:rPr>
          <w:rFonts w:ascii="Times New Roman" w:hAnsi="Times New Roman" w:cs="Times New Roman"/>
          <w:sz w:val="24"/>
          <w:szCs w:val="24"/>
        </w:rPr>
        <w:t>ił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077">
        <w:rPr>
          <w:rFonts w:ascii="Times New Roman" w:hAnsi="Times New Roman" w:cs="Times New Roman"/>
          <w:sz w:val="24"/>
          <w:szCs w:val="24"/>
        </w:rPr>
        <w:t xml:space="preserve">ich </w:t>
      </w:r>
      <w:r w:rsidR="00FE3E4D">
        <w:rPr>
          <w:rFonts w:ascii="Times New Roman" w:hAnsi="Times New Roman" w:cs="Times New Roman"/>
          <w:sz w:val="24"/>
          <w:szCs w:val="24"/>
        </w:rPr>
        <w:t>adekwatnoś</w:t>
      </w:r>
      <w:r w:rsidR="009D2077">
        <w:rPr>
          <w:rFonts w:ascii="Times New Roman" w:hAnsi="Times New Roman" w:cs="Times New Roman"/>
          <w:sz w:val="24"/>
          <w:szCs w:val="24"/>
        </w:rPr>
        <w:t>ć</w:t>
      </w:r>
      <w:r w:rsidR="003F5600">
        <w:rPr>
          <w:rFonts w:ascii="Times New Roman" w:hAnsi="Times New Roman" w:cs="Times New Roman"/>
          <w:sz w:val="24"/>
          <w:szCs w:val="24"/>
        </w:rPr>
        <w:t xml:space="preserve"> do zabezpieczenia przed zidentyfikowanymi i oszacowanymi czynnikami ryzyka istotnego zniekształcenia</w:t>
      </w:r>
      <w:r w:rsidR="00FE3E4D">
        <w:rPr>
          <w:rFonts w:ascii="Times New Roman" w:hAnsi="Times New Roman" w:cs="Times New Roman"/>
          <w:sz w:val="24"/>
          <w:szCs w:val="24"/>
        </w:rPr>
        <w:t xml:space="preserve">. </w:t>
      </w:r>
      <w:r w:rsidR="00437E78">
        <w:rPr>
          <w:rFonts w:ascii="Times New Roman" w:hAnsi="Times New Roman" w:cs="Times New Roman"/>
          <w:sz w:val="24"/>
          <w:szCs w:val="24"/>
        </w:rPr>
        <w:t>Wiedza o jednostce, jej otoczeniu praw</w:t>
      </w:r>
      <w:r w:rsidR="009D2077">
        <w:rPr>
          <w:rFonts w:ascii="Times New Roman" w:hAnsi="Times New Roman" w:cs="Times New Roman"/>
          <w:sz w:val="24"/>
          <w:szCs w:val="24"/>
        </w:rPr>
        <w:t>n</w:t>
      </w:r>
      <w:r w:rsidR="00437E78">
        <w:rPr>
          <w:rFonts w:ascii="Times New Roman" w:hAnsi="Times New Roman" w:cs="Times New Roman"/>
          <w:sz w:val="24"/>
          <w:szCs w:val="24"/>
        </w:rPr>
        <w:t>o</w:t>
      </w:r>
      <w:r w:rsidR="009D2077">
        <w:rPr>
          <w:rFonts w:ascii="Times New Roman" w:hAnsi="Times New Roman" w:cs="Times New Roman"/>
          <w:sz w:val="24"/>
          <w:szCs w:val="24"/>
        </w:rPr>
        <w:t>-</w:t>
      </w:r>
      <w:r w:rsidR="00437E78">
        <w:rPr>
          <w:rFonts w:ascii="Times New Roman" w:hAnsi="Times New Roman" w:cs="Times New Roman"/>
          <w:sz w:val="24"/>
          <w:szCs w:val="24"/>
        </w:rPr>
        <w:t xml:space="preserve">gospodarczym wraz z kontrolą wewnętrzną </w:t>
      </w:r>
      <w:r w:rsidR="00794BE3" w:rsidRPr="00437E7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zapewnia biegłemu rewidentowi </w:t>
      </w:r>
      <w:r w:rsidR="00437E78">
        <w:rPr>
          <w:rFonts w:ascii="Times New Roman" w:hAnsi="Times New Roman" w:cs="Times New Roman"/>
          <w:color w:val="000000"/>
          <w:spacing w:val="-2"/>
          <w:sz w:val="24"/>
          <w:szCs w:val="24"/>
        </w:rPr>
        <w:t>punkt</w:t>
      </w:r>
      <w:r w:rsidR="00794BE3" w:rsidRPr="00437E7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odniesienia do wydawania sądów dotyczących szacowania ryzyka i </w:t>
      </w:r>
      <w:r w:rsidR="00437E7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bazę wiedzy do </w:t>
      </w:r>
      <w:r w:rsidR="00794BE3" w:rsidRPr="00437E7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opracowania </w:t>
      </w:r>
      <w:r w:rsidR="00437E7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planu badania </w:t>
      </w:r>
      <w:r w:rsidR="00437E78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będącego odpowiedzią </w:t>
      </w:r>
      <w:r w:rsidR="00794BE3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na </w:t>
      </w:r>
      <w:r w:rsidR="003F560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oszacowane </w:t>
      </w:r>
      <w:r w:rsidR="00794BE3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>ryzyka istotnej nieprawidłowości w sprawozdaniu finansowym</w:t>
      </w:r>
      <w:r w:rsidR="003F560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="009D2077">
        <w:rPr>
          <w:rFonts w:ascii="Times New Roman" w:hAnsi="Times New Roman" w:cs="Times New Roman"/>
          <w:color w:val="000000"/>
          <w:spacing w:val="-2"/>
          <w:sz w:val="24"/>
          <w:szCs w:val="24"/>
        </w:rPr>
        <w:t>Pozwala ono r</w:t>
      </w:r>
      <w:r w:rsidR="003F5600">
        <w:rPr>
          <w:rFonts w:ascii="Times New Roman" w:hAnsi="Times New Roman" w:cs="Times New Roman"/>
          <w:color w:val="000000"/>
          <w:spacing w:val="-2"/>
          <w:sz w:val="24"/>
          <w:szCs w:val="24"/>
        </w:rPr>
        <w:t>ównież</w:t>
      </w:r>
      <w:r w:rsidR="001D6D42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wyznacz</w:t>
      </w:r>
      <w:r w:rsidR="009D2077">
        <w:rPr>
          <w:rFonts w:ascii="Times New Roman" w:hAnsi="Times New Roman" w:cs="Times New Roman"/>
          <w:color w:val="000000"/>
          <w:spacing w:val="-2"/>
          <w:sz w:val="24"/>
          <w:szCs w:val="24"/>
        </w:rPr>
        <w:t>yć</w:t>
      </w:r>
      <w:r w:rsidR="001D6D42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poziom</w:t>
      </w:r>
      <w:r w:rsidR="009D2077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="001D6D42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istotności, ocenić prawidłowość </w:t>
      </w:r>
      <w:r w:rsid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wyboru </w:t>
      </w:r>
      <w:r w:rsidR="001D6D42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 </w:t>
      </w:r>
      <w:r w:rsidR="003F5600">
        <w:rPr>
          <w:rFonts w:ascii="Times New Roman" w:hAnsi="Times New Roman" w:cs="Times New Roman"/>
          <w:color w:val="000000"/>
          <w:spacing w:val="-2"/>
          <w:sz w:val="24"/>
          <w:szCs w:val="24"/>
        </w:rPr>
        <w:t>zas</w:t>
      </w:r>
      <w:r w:rsid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>tosowanie</w:t>
      </w:r>
      <w:r w:rsidR="001D6D42" w:rsidRPr="001D6D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D6D42" w:rsidRPr="001D6D42">
        <w:rPr>
          <w:rFonts w:ascii="Times New Roman" w:hAnsi="Times New Roman" w:cs="Times New Roman"/>
          <w:color w:val="000000"/>
          <w:sz w:val="24"/>
          <w:szCs w:val="24"/>
        </w:rPr>
        <w:t>zasad (polityki) rachunkowości przez kierownictwo</w:t>
      </w:r>
      <w:r w:rsidR="001D6D42">
        <w:rPr>
          <w:rFonts w:ascii="Times New Roman" w:hAnsi="Times New Roman" w:cs="Times New Roman"/>
          <w:color w:val="000000"/>
          <w:sz w:val="24"/>
          <w:szCs w:val="24"/>
        </w:rPr>
        <w:t>, ocenić prawidłowość i kompletność</w:t>
      </w:r>
      <w:r w:rsidR="00794BE3" w:rsidRPr="001D6D42">
        <w:rPr>
          <w:rFonts w:ascii="Times New Roman" w:hAnsi="Times New Roman" w:cs="Times New Roman"/>
          <w:color w:val="000000"/>
          <w:sz w:val="24"/>
          <w:szCs w:val="24"/>
        </w:rPr>
        <w:t xml:space="preserve"> ujawnień sprawozdania finansowego</w:t>
      </w:r>
      <w:r w:rsidR="001D6D42">
        <w:rPr>
          <w:rFonts w:ascii="Times New Roman" w:hAnsi="Times New Roman" w:cs="Times New Roman"/>
          <w:color w:val="000000"/>
          <w:sz w:val="24"/>
          <w:szCs w:val="24"/>
        </w:rPr>
        <w:t xml:space="preserve">, zidentyfikować pozycje sprawozdania finansowego </w:t>
      </w:r>
      <w:r w:rsidR="00794BE3" w:rsidRPr="001D6D42">
        <w:rPr>
          <w:rFonts w:ascii="Times New Roman" w:hAnsi="Times New Roman" w:cs="Times New Roman"/>
          <w:color w:val="000000"/>
          <w:sz w:val="24"/>
          <w:szCs w:val="24"/>
        </w:rPr>
        <w:t>wymagające szczególnej uwagi (na przykład transakcje z podmiotami powiązanymi, nietypowe lub złożone ustalenia umowne, zasadność kontynuacji działalności lub niecodzienne transakcje)</w:t>
      </w:r>
      <w:r w:rsidR="001D6D42">
        <w:rPr>
          <w:rFonts w:ascii="Times New Roman" w:hAnsi="Times New Roman" w:cs="Times New Roman"/>
          <w:color w:val="000000"/>
          <w:sz w:val="24"/>
          <w:szCs w:val="24"/>
        </w:rPr>
        <w:t>, czy też</w:t>
      </w:r>
      <w:r w:rsidR="00794BE3" w:rsidRPr="001D6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D42">
        <w:rPr>
          <w:rFonts w:ascii="Times New Roman" w:hAnsi="Times New Roman" w:cs="Times New Roman"/>
          <w:color w:val="000000"/>
          <w:sz w:val="24"/>
          <w:szCs w:val="24"/>
        </w:rPr>
        <w:t xml:space="preserve">zaplanować </w:t>
      </w:r>
      <w:r w:rsidR="00794BE3" w:rsidRPr="001D6D42">
        <w:rPr>
          <w:rFonts w:ascii="Times New Roman" w:hAnsi="Times New Roman" w:cs="Times New Roman"/>
          <w:color w:val="000000"/>
          <w:sz w:val="24"/>
          <w:szCs w:val="24"/>
        </w:rPr>
        <w:t>dalsze procedury badania w celu ograniczenia ryzyka badania do niskiego, możliwego do zaakceptowania poziomu</w:t>
      </w:r>
      <w:r w:rsidR="006E030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E0304" w:rsidRPr="005E13CF">
        <w:rPr>
          <w:rFonts w:ascii="Times New Roman" w:hAnsi="Times New Roman" w:cs="Times New Roman"/>
          <w:color w:val="000000"/>
          <w:sz w:val="24"/>
          <w:szCs w:val="24"/>
        </w:rPr>
        <w:t>Barcikowska, Sobińska, Zakrzewska, 2008)</w:t>
      </w:r>
      <w:r w:rsidR="003F560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164794BC" w14:textId="77777777" w:rsidR="003667E0" w:rsidRDefault="001F3A8B" w:rsidP="00A153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Istotną</w:t>
      </w:r>
      <w:r w:rsidR="003667E0" w:rsidRPr="00366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rewolucję</w:t>
      </w:r>
      <w:r w:rsidR="003667E0" w:rsidRPr="00366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rynku firm audytorskich </w:t>
      </w:r>
      <w:r w:rsidR="003667E0" w:rsidRPr="003667E0">
        <w:rPr>
          <w:rFonts w:ascii="Times New Roman" w:hAnsi="Times New Roman" w:cs="Times New Roman"/>
          <w:sz w:val="24"/>
          <w:szCs w:val="24"/>
        </w:rPr>
        <w:t xml:space="preserve">w Polsce wprowadziła </w:t>
      </w:r>
      <w:r w:rsidR="006E0304">
        <w:rPr>
          <w:rFonts w:ascii="Times New Roman" w:hAnsi="Times New Roman" w:cs="Times New Roman"/>
          <w:sz w:val="24"/>
          <w:szCs w:val="24"/>
        </w:rPr>
        <w:t xml:space="preserve">w 2017 roku kolejna zmiana </w:t>
      </w:r>
      <w:r w:rsidR="003667E0" w:rsidRPr="003667E0">
        <w:rPr>
          <w:rFonts w:ascii="Times New Roman" w:hAnsi="Times New Roman" w:cs="Times New Roman"/>
          <w:sz w:val="24"/>
          <w:szCs w:val="24"/>
        </w:rPr>
        <w:t>ustaw</w:t>
      </w:r>
      <w:r w:rsidR="006E0304">
        <w:rPr>
          <w:rFonts w:ascii="Times New Roman" w:hAnsi="Times New Roman" w:cs="Times New Roman"/>
          <w:sz w:val="24"/>
          <w:szCs w:val="24"/>
        </w:rPr>
        <w:t>y</w:t>
      </w:r>
      <w:r w:rsidR="003667E0" w:rsidRPr="003667E0">
        <w:rPr>
          <w:rFonts w:ascii="Times New Roman" w:hAnsi="Times New Roman" w:cs="Times New Roman"/>
          <w:sz w:val="24"/>
          <w:szCs w:val="24"/>
        </w:rPr>
        <w:t xml:space="preserve"> o biegłych rewidentach, firmach audytorskich oraz nadzorze publicznym.</w:t>
      </w:r>
      <w:r w:rsidR="00672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721DD">
        <w:rPr>
          <w:rFonts w:ascii="Times New Roman" w:hAnsi="Times New Roman" w:cs="Times New Roman"/>
          <w:sz w:val="24"/>
          <w:szCs w:val="24"/>
        </w:rPr>
        <w:t xml:space="preserve">stawa </w:t>
      </w:r>
      <w:r>
        <w:rPr>
          <w:rFonts w:ascii="Times New Roman" w:hAnsi="Times New Roman" w:cs="Times New Roman"/>
          <w:sz w:val="24"/>
          <w:szCs w:val="24"/>
        </w:rPr>
        <w:t xml:space="preserve">zaczęła </w:t>
      </w:r>
      <w:r w:rsidR="006721DD">
        <w:rPr>
          <w:rFonts w:ascii="Times New Roman" w:hAnsi="Times New Roman" w:cs="Times New Roman"/>
          <w:sz w:val="24"/>
          <w:szCs w:val="24"/>
        </w:rPr>
        <w:t>obowiązywać od 21 czerwca 2017 r.</w:t>
      </w:r>
      <w:r w:rsidR="00844953">
        <w:rPr>
          <w:rFonts w:ascii="Times New Roman" w:hAnsi="Times New Roman" w:cs="Times New Roman"/>
          <w:sz w:val="24"/>
          <w:szCs w:val="24"/>
        </w:rPr>
        <w:t>,</w:t>
      </w:r>
      <w:r w:rsidR="006721DD">
        <w:rPr>
          <w:rFonts w:ascii="Times New Roman" w:hAnsi="Times New Roman" w:cs="Times New Roman"/>
          <w:sz w:val="24"/>
          <w:szCs w:val="24"/>
        </w:rPr>
        <w:t xml:space="preserve"> a </w:t>
      </w:r>
      <w:r w:rsidR="00132789">
        <w:rPr>
          <w:rFonts w:ascii="Times New Roman" w:hAnsi="Times New Roman" w:cs="Times New Roman"/>
          <w:sz w:val="24"/>
          <w:szCs w:val="24"/>
        </w:rPr>
        <w:t xml:space="preserve">firmy audytorskie miały </w:t>
      </w:r>
      <w:r>
        <w:rPr>
          <w:rFonts w:ascii="Times New Roman" w:hAnsi="Times New Roman" w:cs="Times New Roman"/>
          <w:sz w:val="24"/>
          <w:szCs w:val="24"/>
        </w:rPr>
        <w:t xml:space="preserve">tylko </w:t>
      </w:r>
      <w:r w:rsidR="00132789">
        <w:rPr>
          <w:rFonts w:ascii="Times New Roman" w:hAnsi="Times New Roman" w:cs="Times New Roman"/>
          <w:sz w:val="24"/>
          <w:szCs w:val="24"/>
        </w:rPr>
        <w:t>4 miesięcy na dostosowanie się do nowych regulacji. Wyjątkiem były nowe zasady opłat z tytułu nadzoru, które weszły w życie od 1 stycznia 2018 r</w:t>
      </w:r>
      <w:r w:rsidR="006E0304">
        <w:rPr>
          <w:rFonts w:ascii="Times New Roman" w:hAnsi="Times New Roman" w:cs="Times New Roman"/>
          <w:sz w:val="24"/>
          <w:szCs w:val="24"/>
        </w:rPr>
        <w:t>oku (Ustawa o biegłych rewidentach, 2017).</w:t>
      </w:r>
      <w:r>
        <w:rPr>
          <w:rFonts w:ascii="Times New Roman" w:hAnsi="Times New Roman" w:cs="Times New Roman"/>
          <w:sz w:val="24"/>
          <w:szCs w:val="24"/>
        </w:rPr>
        <w:t xml:space="preserve"> Na mocy ustawy zapisy dotyczące badania sprawozdań finansowych znajdujące się w ustawie o rachunkowości zostały przeniesione do ustawy </w:t>
      </w:r>
      <w:r w:rsidRPr="003667E0">
        <w:rPr>
          <w:rFonts w:ascii="Times New Roman" w:hAnsi="Times New Roman" w:cs="Times New Roman"/>
          <w:sz w:val="24"/>
          <w:szCs w:val="24"/>
        </w:rPr>
        <w:t xml:space="preserve">o biegłych </w:t>
      </w:r>
      <w:r w:rsidRPr="003667E0">
        <w:rPr>
          <w:rFonts w:ascii="Times New Roman" w:hAnsi="Times New Roman" w:cs="Times New Roman"/>
          <w:sz w:val="24"/>
          <w:szCs w:val="24"/>
        </w:rPr>
        <w:lastRenderedPageBreak/>
        <w:t>rewidentach, firmach audytorskich oraz nadzorze publicznym</w:t>
      </w:r>
      <w:r>
        <w:rPr>
          <w:rFonts w:ascii="Times New Roman" w:hAnsi="Times New Roman" w:cs="Times New Roman"/>
          <w:sz w:val="24"/>
          <w:szCs w:val="24"/>
        </w:rPr>
        <w:t xml:space="preserve"> a opinia i raport </w:t>
      </w:r>
      <w:r w:rsidR="00824A69">
        <w:rPr>
          <w:rFonts w:ascii="Times New Roman" w:hAnsi="Times New Roman" w:cs="Times New Roman"/>
          <w:sz w:val="24"/>
          <w:szCs w:val="24"/>
        </w:rPr>
        <w:t>z badania sprawozdania finansowego został</w:t>
      </w:r>
      <w:r w:rsidR="006E0304">
        <w:rPr>
          <w:rFonts w:ascii="Times New Roman" w:hAnsi="Times New Roman" w:cs="Times New Roman"/>
          <w:sz w:val="24"/>
          <w:szCs w:val="24"/>
        </w:rPr>
        <w:t>y</w:t>
      </w:r>
      <w:r w:rsidR="00824A69">
        <w:rPr>
          <w:rFonts w:ascii="Times New Roman" w:hAnsi="Times New Roman" w:cs="Times New Roman"/>
          <w:sz w:val="24"/>
          <w:szCs w:val="24"/>
        </w:rPr>
        <w:t xml:space="preserve"> zastąpion</w:t>
      </w:r>
      <w:r w:rsidR="006E0304">
        <w:rPr>
          <w:rFonts w:ascii="Times New Roman" w:hAnsi="Times New Roman" w:cs="Times New Roman"/>
          <w:sz w:val="24"/>
          <w:szCs w:val="24"/>
        </w:rPr>
        <w:t>e</w:t>
      </w:r>
      <w:r w:rsidR="00844953">
        <w:rPr>
          <w:rFonts w:ascii="Times New Roman" w:hAnsi="Times New Roman" w:cs="Times New Roman"/>
          <w:sz w:val="24"/>
          <w:szCs w:val="24"/>
        </w:rPr>
        <w:t>,</w:t>
      </w:r>
      <w:r w:rsidR="00824A69">
        <w:rPr>
          <w:rFonts w:ascii="Times New Roman" w:hAnsi="Times New Roman" w:cs="Times New Roman"/>
          <w:sz w:val="24"/>
          <w:szCs w:val="24"/>
        </w:rPr>
        <w:t xml:space="preserve"> zgodnie z Krajowymi Standardami Rewizji Finansowej w brzmieniu Międzynarodowych Standardów Badania</w:t>
      </w:r>
      <w:r w:rsidR="00844953">
        <w:rPr>
          <w:rFonts w:ascii="Times New Roman" w:hAnsi="Times New Roman" w:cs="Times New Roman"/>
          <w:sz w:val="24"/>
          <w:szCs w:val="24"/>
        </w:rPr>
        <w:t>,</w:t>
      </w:r>
      <w:r w:rsidR="00824A69">
        <w:rPr>
          <w:rFonts w:ascii="Times New Roman" w:hAnsi="Times New Roman" w:cs="Times New Roman"/>
          <w:sz w:val="24"/>
          <w:szCs w:val="24"/>
        </w:rPr>
        <w:t xml:space="preserve"> sprawozdaniem z badania. </w:t>
      </w:r>
      <w:r w:rsidR="00382FCE">
        <w:rPr>
          <w:rFonts w:ascii="Times New Roman" w:hAnsi="Times New Roman" w:cs="Times New Roman"/>
          <w:sz w:val="24"/>
          <w:szCs w:val="24"/>
        </w:rPr>
        <w:t xml:space="preserve">Wszystkie firmy audytorskie uchwałą z dnia </w:t>
      </w:r>
      <w:r w:rsidR="00AF3649" w:rsidRPr="00AF3649">
        <w:rPr>
          <w:rFonts w:ascii="Times New Roman" w:hAnsi="Times New Roman" w:cs="Times New Roman"/>
          <w:sz w:val="24"/>
          <w:szCs w:val="24"/>
        </w:rPr>
        <w:t>24 stycznia 2017 r.</w:t>
      </w:r>
      <w:r w:rsidR="00AF3649">
        <w:rPr>
          <w:rFonts w:ascii="Times New Roman" w:hAnsi="Times New Roman" w:cs="Times New Roman"/>
          <w:sz w:val="24"/>
          <w:szCs w:val="24"/>
        </w:rPr>
        <w:t xml:space="preserve"> </w:t>
      </w:r>
      <w:r w:rsidR="00382FCE" w:rsidRPr="00AF3649">
        <w:rPr>
          <w:rFonts w:ascii="Times New Roman" w:hAnsi="Times New Roman" w:cs="Times New Roman"/>
          <w:sz w:val="24"/>
          <w:szCs w:val="24"/>
        </w:rPr>
        <w:t xml:space="preserve">nr 913/22a/2017 </w:t>
      </w:r>
      <w:r w:rsidR="00382FCE">
        <w:rPr>
          <w:rFonts w:ascii="Times New Roman" w:hAnsi="Times New Roman" w:cs="Times New Roman"/>
          <w:sz w:val="24"/>
          <w:szCs w:val="24"/>
        </w:rPr>
        <w:t>KRBR zostały zobligowane</w:t>
      </w:r>
      <w:r w:rsidR="00AF3649" w:rsidRPr="00AF3649">
        <w:rPr>
          <w:rFonts w:ascii="Times New Roman" w:hAnsi="Times New Roman" w:cs="Times New Roman"/>
          <w:sz w:val="24"/>
          <w:szCs w:val="24"/>
        </w:rPr>
        <w:t xml:space="preserve"> </w:t>
      </w:r>
      <w:r w:rsidR="00AF3649">
        <w:rPr>
          <w:rFonts w:ascii="Times New Roman" w:hAnsi="Times New Roman" w:cs="Times New Roman"/>
          <w:sz w:val="24"/>
          <w:szCs w:val="24"/>
        </w:rPr>
        <w:t xml:space="preserve">do stosowania </w:t>
      </w:r>
      <w:r w:rsidR="00AF3649" w:rsidRPr="00AF3649">
        <w:rPr>
          <w:rFonts w:ascii="Times New Roman" w:hAnsi="Times New Roman" w:cs="Times New Roman"/>
          <w:sz w:val="24"/>
          <w:szCs w:val="24"/>
        </w:rPr>
        <w:t>KSRF</w:t>
      </w:r>
      <w:r w:rsidR="00AF3649">
        <w:rPr>
          <w:rFonts w:ascii="Times New Roman" w:hAnsi="Times New Roman" w:cs="Times New Roman"/>
          <w:sz w:val="24"/>
          <w:szCs w:val="24"/>
        </w:rPr>
        <w:t xml:space="preserve"> w brzmieniu </w:t>
      </w:r>
      <w:r w:rsidR="00AF3649" w:rsidRPr="00AF3649">
        <w:rPr>
          <w:rFonts w:ascii="Times New Roman" w:hAnsi="Times New Roman" w:cs="Times New Roman"/>
          <w:sz w:val="24"/>
          <w:szCs w:val="24"/>
        </w:rPr>
        <w:t>MSB</w:t>
      </w:r>
      <w:r w:rsidR="00AF3649">
        <w:rPr>
          <w:rFonts w:ascii="Times New Roman" w:hAnsi="Times New Roman" w:cs="Times New Roman"/>
          <w:sz w:val="24"/>
          <w:szCs w:val="24"/>
        </w:rPr>
        <w:t>.</w:t>
      </w:r>
    </w:p>
    <w:p w14:paraId="53219BD4" w14:textId="77777777" w:rsidR="006721DD" w:rsidRPr="006721DD" w:rsidRDefault="003667E0" w:rsidP="002252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Ostatnia zmiana ustawy o biegłych rewidentach </w:t>
      </w:r>
      <w:r w:rsidR="00382FCE">
        <w:rPr>
          <w:rFonts w:ascii="Times New Roman" w:hAnsi="Times New Roman" w:cs="Times New Roman"/>
          <w:sz w:val="24"/>
          <w:szCs w:val="24"/>
        </w:rPr>
        <w:t>miała miejsca w 2019 r. (Ustawa o biegłych rewidentach, 2019)</w:t>
      </w:r>
      <w:r w:rsidRPr="003667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Jedną z najważniejszych zmian było wprowadzenie nadzoru publicznego</w:t>
      </w:r>
      <w:r w:rsidR="006721DD">
        <w:rPr>
          <w:rFonts w:ascii="Times New Roman" w:hAnsi="Times New Roman" w:cs="Times New Roman"/>
          <w:sz w:val="24"/>
          <w:szCs w:val="24"/>
        </w:rPr>
        <w:t xml:space="preserve"> sprawowanego </w:t>
      </w:r>
      <w:r w:rsidR="006721DD" w:rsidRPr="006721DD">
        <w:rPr>
          <w:rFonts w:ascii="Times New Roman" w:hAnsi="Times New Roman" w:cs="Times New Roman"/>
          <w:sz w:val="24"/>
          <w:szCs w:val="24"/>
        </w:rPr>
        <w:t>przez Polską Agencje Nadzoru Audytowego</w:t>
      </w:r>
      <w:r>
        <w:rPr>
          <w:rFonts w:ascii="Times New Roman" w:hAnsi="Times New Roman" w:cs="Times New Roman"/>
          <w:sz w:val="24"/>
          <w:szCs w:val="24"/>
        </w:rPr>
        <w:t xml:space="preserve"> nad</w:t>
      </w:r>
      <w:r w:rsidR="00382FCE">
        <w:rPr>
          <w:rFonts w:ascii="Times New Roman" w:hAnsi="Times New Roman" w:cs="Times New Roman"/>
          <w:sz w:val="24"/>
          <w:szCs w:val="24"/>
        </w:rPr>
        <w:t xml:space="preserve"> (Ustawa o biegłych rewidentach</w:t>
      </w:r>
      <w:r w:rsidR="007B551B">
        <w:rPr>
          <w:rFonts w:ascii="Times New Roman" w:hAnsi="Times New Roman" w:cs="Times New Roman"/>
          <w:sz w:val="24"/>
          <w:szCs w:val="24"/>
        </w:rPr>
        <w:t>, 2019)</w:t>
      </w:r>
      <w:r w:rsidR="006721DD">
        <w:rPr>
          <w:rFonts w:ascii="Times New Roman" w:hAnsi="Times New Roman" w:cs="Times New Roman"/>
          <w:sz w:val="24"/>
          <w:szCs w:val="24"/>
        </w:rPr>
        <w:t>:</w:t>
      </w:r>
    </w:p>
    <w:p w14:paraId="4B64024F" w14:textId="77777777" w:rsidR="006721DD" w:rsidRPr="006721DD" w:rsidRDefault="006721DD" w:rsidP="00382FC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721DD">
        <w:rPr>
          <w:sz w:val="24"/>
          <w:szCs w:val="24"/>
        </w:rPr>
        <w:t>działalnością firm audytorskich,</w:t>
      </w:r>
    </w:p>
    <w:p w14:paraId="56B978EC" w14:textId="77777777" w:rsidR="006721DD" w:rsidRPr="006721DD" w:rsidRDefault="006721DD" w:rsidP="00382FC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721DD">
        <w:rPr>
          <w:sz w:val="24"/>
          <w:szCs w:val="24"/>
        </w:rPr>
        <w:t>działalnością Polskiej Izby Biegłych Rewidentów, w tym w zakresie wpisu do rejestru biegłych rewidentów,</w:t>
      </w:r>
    </w:p>
    <w:p w14:paraId="2460E8FA" w14:textId="77777777" w:rsidR="006721DD" w:rsidRDefault="006721DD" w:rsidP="00382FC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721DD">
        <w:rPr>
          <w:sz w:val="24"/>
          <w:szCs w:val="24"/>
        </w:rPr>
        <w:t>działalnością firm audytorskich zatwierdzonych w innym niż Rzeczpospolita Polska państwie UE i wpisanych na listę na podstawie art. 58, w zakresie przewidzianym ustawą,</w:t>
      </w:r>
    </w:p>
    <w:p w14:paraId="34D6803C" w14:textId="77777777" w:rsidR="003667E0" w:rsidRDefault="006721DD" w:rsidP="00382FC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721DD">
        <w:rPr>
          <w:sz w:val="24"/>
          <w:szCs w:val="24"/>
        </w:rPr>
        <w:t xml:space="preserve">działalnością jednostek audytorskich pochodzących z państwa trzeciego i wpisanych na listę tych </w:t>
      </w:r>
      <w:r w:rsidR="00A76983">
        <w:rPr>
          <w:sz w:val="24"/>
          <w:szCs w:val="24"/>
        </w:rPr>
        <w:t>firm audytorskich</w:t>
      </w:r>
      <w:r w:rsidRPr="006721DD">
        <w:rPr>
          <w:sz w:val="24"/>
          <w:szCs w:val="24"/>
        </w:rPr>
        <w:t xml:space="preserve">, w zakresie przewidzianym ustawą </w:t>
      </w:r>
      <w:r w:rsidR="0059668C" w:rsidRPr="006721DD">
        <w:rPr>
          <w:sz w:val="24"/>
          <w:szCs w:val="24"/>
        </w:rPr>
        <w:t>w Polsce.</w:t>
      </w:r>
    </w:p>
    <w:p w14:paraId="2402473B" w14:textId="77777777" w:rsidR="00941100" w:rsidRDefault="00941100" w:rsidP="00941100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14:paraId="06735636" w14:textId="77777777" w:rsidR="007B551B" w:rsidRPr="007B551B" w:rsidRDefault="00B6436A" w:rsidP="007B551B">
      <w:pPr>
        <w:pStyle w:val="Akapitzlist"/>
        <w:numPr>
          <w:ilvl w:val="1"/>
          <w:numId w:val="23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Polski rynek</w:t>
      </w:r>
      <w:r w:rsidR="007B551B" w:rsidRPr="007B551B">
        <w:rPr>
          <w:b/>
          <w:bCs/>
          <w:sz w:val="24"/>
          <w:szCs w:val="24"/>
        </w:rPr>
        <w:t xml:space="preserve"> audytu </w:t>
      </w:r>
      <w:r>
        <w:rPr>
          <w:b/>
          <w:bCs/>
          <w:sz w:val="24"/>
          <w:szCs w:val="24"/>
        </w:rPr>
        <w:t>w liczbach</w:t>
      </w:r>
    </w:p>
    <w:p w14:paraId="11BF1CCD" w14:textId="77777777" w:rsidR="007B551B" w:rsidRDefault="003A6BD7" w:rsidP="002252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Biegli rewidenci</w:t>
      </w:r>
      <w:r w:rsidR="00E21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mimo wielu akcji edukacyjnych i programów szkoleniowych mających na celu pomoc w dostosowaniu do nowych standardów wykonywania zawodu i kolejnych zmian ustawy o biegłych rewidentach</w:t>
      </w:r>
      <w:r w:rsidR="00E21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rezygnowali z czynnego wykonywania zawodu, co zostało zaprezentowane na wykresie </w:t>
      </w:r>
      <w:r w:rsidR="001C17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Ilość </w:t>
      </w:r>
      <w:r w:rsidRPr="003A6BD7">
        <w:rPr>
          <w:rFonts w:ascii="Times New Roman" w:hAnsi="Times New Roman" w:cs="Times New Roman"/>
          <w:sz w:val="24"/>
          <w:szCs w:val="24"/>
        </w:rPr>
        <w:t>zarejestrowanych bieg</w:t>
      </w:r>
      <w:r w:rsidRPr="003A6BD7">
        <w:rPr>
          <w:rFonts w:ascii="Times New Roman" w:hAnsi="Times New Roman" w:cs="Times New Roman" w:hint="cs"/>
          <w:sz w:val="24"/>
          <w:szCs w:val="24"/>
        </w:rPr>
        <w:t>ł</w:t>
      </w:r>
      <w:r w:rsidRPr="003A6BD7">
        <w:rPr>
          <w:rFonts w:ascii="Times New Roman" w:hAnsi="Times New Roman" w:cs="Times New Roman"/>
          <w:sz w:val="24"/>
          <w:szCs w:val="24"/>
        </w:rPr>
        <w:t>ych rewidentów</w:t>
      </w:r>
      <w:r>
        <w:rPr>
          <w:rFonts w:ascii="Times New Roman" w:hAnsi="Times New Roman" w:cs="Times New Roman"/>
          <w:sz w:val="24"/>
          <w:szCs w:val="24"/>
        </w:rPr>
        <w:t xml:space="preserve"> od 1 stycznia 2017 r</w:t>
      </w:r>
      <w:r w:rsidR="00E212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E2126F">
        <w:rPr>
          <w:rFonts w:ascii="Times New Roman" w:hAnsi="Times New Roman" w:cs="Times New Roman"/>
          <w:sz w:val="24"/>
          <w:szCs w:val="24"/>
        </w:rPr>
        <w:t xml:space="preserve">końca </w:t>
      </w:r>
      <w:r>
        <w:rPr>
          <w:rFonts w:ascii="Times New Roman" w:hAnsi="Times New Roman" w:cs="Times New Roman"/>
          <w:sz w:val="24"/>
          <w:szCs w:val="24"/>
        </w:rPr>
        <w:t>grudnia 2019 r. spadła o 861 osób</w:t>
      </w:r>
      <w:r w:rsidR="005D50E6">
        <w:rPr>
          <w:rFonts w:ascii="Times New Roman" w:hAnsi="Times New Roman" w:cs="Times New Roman"/>
          <w:sz w:val="24"/>
          <w:szCs w:val="24"/>
        </w:rPr>
        <w:t xml:space="preserve"> i wynosi 3 623 osoby</w:t>
      </w:r>
      <w:r w:rsidR="00E2126F">
        <w:rPr>
          <w:rFonts w:ascii="Times New Roman" w:hAnsi="Times New Roman" w:cs="Times New Roman"/>
          <w:sz w:val="24"/>
          <w:szCs w:val="24"/>
        </w:rPr>
        <w:t>,</w:t>
      </w:r>
      <w:r w:rsidR="005D50E6">
        <w:rPr>
          <w:rFonts w:ascii="Times New Roman" w:hAnsi="Times New Roman" w:cs="Times New Roman"/>
          <w:sz w:val="24"/>
          <w:szCs w:val="24"/>
        </w:rPr>
        <w:t xml:space="preserve"> z czego </w:t>
      </w:r>
      <w:r w:rsidR="00E2126F">
        <w:rPr>
          <w:rFonts w:ascii="Times New Roman" w:hAnsi="Times New Roman" w:cs="Times New Roman"/>
          <w:sz w:val="24"/>
          <w:szCs w:val="24"/>
        </w:rPr>
        <w:t xml:space="preserve">około </w:t>
      </w:r>
      <w:r w:rsidR="005D50E6">
        <w:rPr>
          <w:rFonts w:ascii="Times New Roman" w:hAnsi="Times New Roman" w:cs="Times New Roman"/>
          <w:sz w:val="24"/>
          <w:szCs w:val="24"/>
        </w:rPr>
        <w:t xml:space="preserve">33% pracuje w sieciach największych firma audytorskich przeprowadzających badania ustawowe </w:t>
      </w:r>
      <w:r w:rsidR="00035B09" w:rsidRPr="001C17A9">
        <w:rPr>
          <w:rFonts w:ascii="Times New Roman" w:hAnsi="Times New Roman" w:cs="Times New Roman"/>
          <w:sz w:val="24"/>
          <w:szCs w:val="24"/>
        </w:rPr>
        <w:t>JZP</w:t>
      </w:r>
      <w:r w:rsidR="001C17A9" w:rsidRPr="001C17A9">
        <w:rPr>
          <w:rFonts w:ascii="Times New Roman" w:hAnsi="Times New Roman" w:cs="Times New Roman"/>
          <w:sz w:val="24"/>
          <w:szCs w:val="24"/>
        </w:rPr>
        <w:t xml:space="preserve"> (</w:t>
      </w:r>
      <w:r w:rsidR="001C17A9">
        <w:rPr>
          <w:rFonts w:ascii="Times New Roman" w:hAnsi="Times New Roman" w:cs="Times New Roman"/>
          <w:sz w:val="24"/>
          <w:szCs w:val="24"/>
        </w:rPr>
        <w:t>Komisji Nadzoru Audytowego</w:t>
      </w:r>
      <w:r w:rsidR="001C17A9" w:rsidRPr="001C17A9">
        <w:rPr>
          <w:rFonts w:ascii="Times New Roman" w:hAnsi="Times New Roman" w:cs="Times New Roman"/>
          <w:sz w:val="24"/>
          <w:szCs w:val="24"/>
        </w:rPr>
        <w:t>, 2019, s. 14)</w:t>
      </w:r>
      <w:r>
        <w:rPr>
          <w:rFonts w:ascii="Times New Roman" w:hAnsi="Times New Roman" w:cs="Times New Roman"/>
          <w:sz w:val="24"/>
          <w:szCs w:val="24"/>
        </w:rPr>
        <w:t xml:space="preserve">. Na uwagę zasługuje fakt, że bilans skreśleń z rejestru i wpisów do rejestru jest </w:t>
      </w:r>
      <w:r w:rsidR="00E2126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analizowany</w:t>
      </w:r>
      <w:r w:rsidR="00E2126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okres</w:t>
      </w:r>
      <w:r w:rsidR="00E2126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ujemny.</w:t>
      </w:r>
      <w:r w:rsidR="003A7500">
        <w:rPr>
          <w:rFonts w:ascii="Times New Roman" w:hAnsi="Times New Roman" w:cs="Times New Roman"/>
          <w:sz w:val="24"/>
          <w:szCs w:val="24"/>
        </w:rPr>
        <w:t xml:space="preserve"> Na podstawie danych Komisji Nadzoru Audytowego (2019, s. 11) tendencja spadkowa ilości biegłych rewidentów </w:t>
      </w:r>
      <w:r w:rsidR="00697D36">
        <w:rPr>
          <w:rFonts w:ascii="Times New Roman" w:hAnsi="Times New Roman" w:cs="Times New Roman"/>
          <w:sz w:val="24"/>
          <w:szCs w:val="24"/>
        </w:rPr>
        <w:t>wykonujących zawód (o 11%) i niewykonujących zawodu (19%) trwa od 2010 r.</w:t>
      </w:r>
      <w:r w:rsidR="001C17A9">
        <w:rPr>
          <w:rFonts w:ascii="Times New Roman" w:hAnsi="Times New Roman" w:cs="Times New Roman"/>
          <w:sz w:val="24"/>
          <w:szCs w:val="24"/>
        </w:rPr>
        <w:t xml:space="preserve"> </w:t>
      </w:r>
      <w:r w:rsidR="00BB1228">
        <w:rPr>
          <w:rFonts w:ascii="Times New Roman" w:hAnsi="Times New Roman" w:cs="Times New Roman"/>
          <w:sz w:val="24"/>
          <w:szCs w:val="24"/>
        </w:rPr>
        <w:t>(</w:t>
      </w:r>
      <w:r w:rsidR="001C17A9">
        <w:rPr>
          <w:rFonts w:ascii="Times New Roman" w:hAnsi="Times New Roman" w:cs="Times New Roman"/>
          <w:sz w:val="24"/>
          <w:szCs w:val="24"/>
        </w:rPr>
        <w:t>Komisji Nadzoru Audytowego</w:t>
      </w:r>
      <w:r w:rsidR="001C17A9" w:rsidRPr="001C17A9">
        <w:rPr>
          <w:rFonts w:ascii="Times New Roman" w:hAnsi="Times New Roman" w:cs="Times New Roman"/>
          <w:sz w:val="24"/>
          <w:szCs w:val="24"/>
        </w:rPr>
        <w:t>, 2019, s. 14</w:t>
      </w:r>
      <w:r w:rsidR="00BB1228">
        <w:rPr>
          <w:rFonts w:ascii="Times New Roman" w:hAnsi="Times New Roman" w:cs="Times New Roman"/>
          <w:sz w:val="24"/>
          <w:szCs w:val="24"/>
        </w:rPr>
        <w:t>-16), ale j</w:t>
      </w:r>
      <w:r w:rsidR="00697D36">
        <w:rPr>
          <w:rFonts w:ascii="Times New Roman" w:hAnsi="Times New Roman" w:cs="Times New Roman"/>
          <w:sz w:val="24"/>
          <w:szCs w:val="24"/>
        </w:rPr>
        <w:t xml:space="preserve">ak </w:t>
      </w:r>
      <w:r w:rsidR="00BB1228">
        <w:rPr>
          <w:rFonts w:ascii="Times New Roman" w:hAnsi="Times New Roman" w:cs="Times New Roman"/>
          <w:sz w:val="24"/>
          <w:szCs w:val="24"/>
        </w:rPr>
        <w:t>przedstawiono</w:t>
      </w:r>
      <w:r w:rsidR="00697D36">
        <w:rPr>
          <w:rFonts w:ascii="Times New Roman" w:hAnsi="Times New Roman" w:cs="Times New Roman"/>
          <w:sz w:val="24"/>
          <w:szCs w:val="24"/>
        </w:rPr>
        <w:t xml:space="preserve"> na wykresie </w:t>
      </w:r>
      <w:r w:rsidR="0071040B">
        <w:rPr>
          <w:rFonts w:ascii="Times New Roman" w:hAnsi="Times New Roman" w:cs="Times New Roman"/>
          <w:sz w:val="24"/>
          <w:szCs w:val="24"/>
        </w:rPr>
        <w:t>1</w:t>
      </w:r>
      <w:r w:rsidR="00697D36">
        <w:rPr>
          <w:rFonts w:ascii="Times New Roman" w:hAnsi="Times New Roman" w:cs="Times New Roman"/>
          <w:sz w:val="24"/>
          <w:szCs w:val="24"/>
        </w:rPr>
        <w:t xml:space="preserve"> największy</w:t>
      </w:r>
      <w:r w:rsidR="00697D36" w:rsidRPr="00697D36">
        <w:rPr>
          <w:rFonts w:ascii="Times New Roman" w:hAnsi="Times New Roman" w:cs="Times New Roman"/>
          <w:sz w:val="24"/>
          <w:szCs w:val="24"/>
        </w:rPr>
        <w:t xml:space="preserve"> spadek liczby biegłych rewidentów </w:t>
      </w:r>
      <w:r w:rsidR="00697D36">
        <w:rPr>
          <w:rFonts w:ascii="Times New Roman" w:hAnsi="Times New Roman" w:cs="Times New Roman"/>
          <w:sz w:val="24"/>
          <w:szCs w:val="24"/>
        </w:rPr>
        <w:t xml:space="preserve">utrzymuje się </w:t>
      </w:r>
      <w:r w:rsidR="00697D36" w:rsidRPr="00697D36">
        <w:rPr>
          <w:rFonts w:ascii="Times New Roman" w:hAnsi="Times New Roman" w:cs="Times New Roman"/>
          <w:sz w:val="24"/>
          <w:szCs w:val="24"/>
        </w:rPr>
        <w:t>od 2017 r.</w:t>
      </w:r>
      <w:r w:rsidR="00697D36">
        <w:rPr>
          <w:rFonts w:ascii="Times New Roman" w:hAnsi="Times New Roman" w:cs="Times New Roman"/>
          <w:sz w:val="24"/>
          <w:szCs w:val="24"/>
        </w:rPr>
        <w:t xml:space="preserve"> </w:t>
      </w:r>
      <w:r w:rsidR="007B551B">
        <w:rPr>
          <w:rFonts w:ascii="Times New Roman" w:hAnsi="Times New Roman" w:cs="Times New Roman"/>
          <w:sz w:val="24"/>
          <w:szCs w:val="24"/>
        </w:rPr>
        <w:t>Głównymi</w:t>
      </w:r>
      <w:r w:rsidR="00697D36">
        <w:rPr>
          <w:rFonts w:ascii="Times New Roman" w:hAnsi="Times New Roman" w:cs="Times New Roman"/>
          <w:sz w:val="24"/>
          <w:szCs w:val="24"/>
        </w:rPr>
        <w:t xml:space="preserve"> przyczyn</w:t>
      </w:r>
      <w:r w:rsidR="007B551B">
        <w:rPr>
          <w:rFonts w:ascii="Times New Roman" w:hAnsi="Times New Roman" w:cs="Times New Roman"/>
          <w:sz w:val="24"/>
          <w:szCs w:val="24"/>
        </w:rPr>
        <w:t>ami</w:t>
      </w:r>
      <w:r w:rsidR="00697D36">
        <w:rPr>
          <w:rFonts w:ascii="Times New Roman" w:hAnsi="Times New Roman" w:cs="Times New Roman"/>
          <w:sz w:val="24"/>
          <w:szCs w:val="24"/>
        </w:rPr>
        <w:t xml:space="preserve"> takiej sytuacji </w:t>
      </w:r>
      <w:r w:rsidR="00BB1228">
        <w:rPr>
          <w:rFonts w:ascii="Times New Roman" w:hAnsi="Times New Roman" w:cs="Times New Roman"/>
          <w:sz w:val="24"/>
          <w:szCs w:val="24"/>
        </w:rPr>
        <w:t>jest</w:t>
      </w:r>
      <w:r w:rsidR="007B551B">
        <w:rPr>
          <w:rFonts w:ascii="Times New Roman" w:hAnsi="Times New Roman" w:cs="Times New Roman"/>
          <w:sz w:val="24"/>
          <w:szCs w:val="24"/>
        </w:rPr>
        <w:t xml:space="preserve"> między innymi:</w:t>
      </w:r>
    </w:p>
    <w:p w14:paraId="6BC0AD60" w14:textId="77777777" w:rsidR="0071040B" w:rsidRDefault="0071040B" w:rsidP="007B551B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obligatoryjne stosowanie KSB w brzmieniu MSB,</w:t>
      </w:r>
    </w:p>
    <w:p w14:paraId="59C831F6" w14:textId="77777777" w:rsidR="0071040B" w:rsidRDefault="0071040B" w:rsidP="007B551B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zmniejszający się rynek obligatoryjnych badań sprawozdań finansowych</w:t>
      </w:r>
      <w:r w:rsidR="00CD4004">
        <w:rPr>
          <w:sz w:val="24"/>
          <w:szCs w:val="24"/>
        </w:rPr>
        <w:t>,</w:t>
      </w:r>
    </w:p>
    <w:p w14:paraId="70318E65" w14:textId="77777777" w:rsidR="007B551B" w:rsidRDefault="0071040B" w:rsidP="007B551B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wysokie kary finansowe</w:t>
      </w:r>
      <w:r w:rsidR="00CD4004">
        <w:rPr>
          <w:sz w:val="24"/>
          <w:szCs w:val="24"/>
        </w:rPr>
        <w:t xml:space="preserve"> nieadekwatne do zidentyfikowanych nieprawidłowości,</w:t>
      </w:r>
    </w:p>
    <w:p w14:paraId="3830A557" w14:textId="77777777" w:rsidR="003A6BD7" w:rsidRPr="007B551B" w:rsidRDefault="00697D36" w:rsidP="007B551B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7B551B">
        <w:rPr>
          <w:sz w:val="24"/>
          <w:szCs w:val="24"/>
        </w:rPr>
        <w:t>ustanowienie statusu biegłego rewidenta seniora</w:t>
      </w:r>
      <w:r w:rsidR="0071040B">
        <w:rPr>
          <w:sz w:val="24"/>
          <w:szCs w:val="24"/>
        </w:rPr>
        <w:t>, pozwalającego tylko na zachowanie tytułu bez prawa wykonywania czynności rewizji finansowej.</w:t>
      </w:r>
      <w:r>
        <w:rPr>
          <w:rStyle w:val="Odwoanieprzypisudolnego"/>
          <w:sz w:val="24"/>
          <w:szCs w:val="24"/>
        </w:rPr>
        <w:footnoteReference w:id="3"/>
      </w:r>
    </w:p>
    <w:p w14:paraId="3D43BCC5" w14:textId="77777777" w:rsidR="00697D36" w:rsidRDefault="00697D36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AAD93F3" w14:textId="77777777" w:rsidR="003A6BD7" w:rsidRPr="00955245" w:rsidRDefault="003A6BD7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5245">
        <w:rPr>
          <w:rFonts w:ascii="Times New Roman" w:hAnsi="Times New Roman" w:cs="Times New Roman"/>
          <w:b/>
          <w:bCs/>
          <w:sz w:val="20"/>
          <w:szCs w:val="20"/>
        </w:rPr>
        <w:t xml:space="preserve">Wykres </w:t>
      </w:r>
      <w:r w:rsidR="0071040B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Ilość zarejestrowanych biegłych rewidentów w Polsce</w:t>
      </w:r>
    </w:p>
    <w:p w14:paraId="2011CEEF" w14:textId="77777777" w:rsidR="003A6BD7" w:rsidRDefault="007B551B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96FC86" wp14:editId="2C625E3C">
            <wp:extent cx="5557345" cy="2743200"/>
            <wp:effectExtent l="0" t="0" r="571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D9D45E8-20C4-431B-99B8-9F366E5AF8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3C71C0" w14:textId="77777777" w:rsidR="003A6BD7" w:rsidRPr="0001214F" w:rsidRDefault="003A6BD7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Źródło: opracowanie własne na podstawie danych uzyskanych z PIBR w dniu 11.02.2020</w:t>
      </w:r>
    </w:p>
    <w:p w14:paraId="37E4C52B" w14:textId="77777777" w:rsidR="003A6BD7" w:rsidRDefault="003A6BD7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6CC41B" w14:textId="77777777" w:rsidR="003A6BD7" w:rsidRDefault="003A6BD7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</w:t>
      </w:r>
      <w:r w:rsidR="000D50E8">
        <w:rPr>
          <w:rFonts w:ascii="Times New Roman" w:hAnsi="Times New Roman" w:cs="Times New Roman"/>
          <w:sz w:val="24"/>
          <w:szCs w:val="24"/>
        </w:rPr>
        <w:t>przedstawiono</w:t>
      </w:r>
      <w:r>
        <w:rPr>
          <w:rFonts w:ascii="Times New Roman" w:hAnsi="Times New Roman" w:cs="Times New Roman"/>
          <w:sz w:val="24"/>
          <w:szCs w:val="24"/>
        </w:rPr>
        <w:t xml:space="preserve"> na wykresie </w:t>
      </w:r>
      <w:r w:rsidR="00710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 analizowanym okresie rynek usług audytorskich odnotował również spadek ilość firm audytorskich o 165 jednostek. Również i w tym przypadku liczba skreśleń </w:t>
      </w:r>
      <w:r w:rsidR="00A54539">
        <w:rPr>
          <w:rFonts w:ascii="Times New Roman" w:hAnsi="Times New Roman" w:cs="Times New Roman"/>
          <w:sz w:val="24"/>
          <w:szCs w:val="24"/>
        </w:rPr>
        <w:t>była</w:t>
      </w:r>
      <w:r>
        <w:rPr>
          <w:rFonts w:ascii="Times New Roman" w:hAnsi="Times New Roman" w:cs="Times New Roman"/>
          <w:sz w:val="24"/>
          <w:szCs w:val="24"/>
        </w:rPr>
        <w:t xml:space="preserve"> wyższa niż </w:t>
      </w:r>
      <w:r w:rsidR="00A41A92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wpisów nowych firm. Znaczny spadek liczby biegłych rewidentów i firm audytorskich może mieć wpływ na koncentracje na rynku usług audytorskich.</w:t>
      </w:r>
      <w:r w:rsidR="005D50E6">
        <w:rPr>
          <w:rFonts w:ascii="Times New Roman" w:hAnsi="Times New Roman" w:cs="Times New Roman"/>
          <w:sz w:val="24"/>
          <w:szCs w:val="24"/>
        </w:rPr>
        <w:t xml:space="preserve"> Na podstawie danych opublikowanych przez Komisj</w:t>
      </w:r>
      <w:r w:rsidR="00A41A92">
        <w:rPr>
          <w:rFonts w:ascii="Times New Roman" w:hAnsi="Times New Roman" w:cs="Times New Roman"/>
          <w:sz w:val="24"/>
          <w:szCs w:val="24"/>
        </w:rPr>
        <w:t>ę</w:t>
      </w:r>
      <w:r w:rsidR="005D50E6">
        <w:rPr>
          <w:rFonts w:ascii="Times New Roman" w:hAnsi="Times New Roman" w:cs="Times New Roman"/>
          <w:sz w:val="24"/>
          <w:szCs w:val="24"/>
        </w:rPr>
        <w:t xml:space="preserve"> Nadzoru Audytowego (2019, s. 12) największy spadek </w:t>
      </w:r>
      <w:r w:rsidR="00A41A92">
        <w:rPr>
          <w:rFonts w:ascii="Times New Roman" w:hAnsi="Times New Roman" w:cs="Times New Roman"/>
          <w:sz w:val="24"/>
          <w:szCs w:val="24"/>
        </w:rPr>
        <w:t xml:space="preserve">występuje </w:t>
      </w:r>
      <w:r w:rsidR="005D50E6">
        <w:rPr>
          <w:rFonts w:ascii="Times New Roman" w:hAnsi="Times New Roman" w:cs="Times New Roman"/>
          <w:sz w:val="24"/>
          <w:szCs w:val="24"/>
        </w:rPr>
        <w:t>w ilości firm audytorskich prowadzonych w formie jednoosobowych działalności</w:t>
      </w:r>
      <w:r w:rsidR="00A41A92">
        <w:rPr>
          <w:rFonts w:ascii="Times New Roman" w:hAnsi="Times New Roman" w:cs="Times New Roman"/>
          <w:sz w:val="24"/>
          <w:szCs w:val="24"/>
        </w:rPr>
        <w:t xml:space="preserve"> gospodarczych</w:t>
      </w:r>
      <w:r w:rsidR="00CD4004">
        <w:rPr>
          <w:rFonts w:ascii="Times New Roman" w:hAnsi="Times New Roman" w:cs="Times New Roman"/>
          <w:sz w:val="24"/>
          <w:szCs w:val="24"/>
        </w:rPr>
        <w:t xml:space="preserve"> oraz małych firm audytorskich prowadzonych w różnych formach prawnych, </w:t>
      </w:r>
      <w:r w:rsidR="005D50E6">
        <w:rPr>
          <w:rFonts w:ascii="Times New Roman" w:hAnsi="Times New Roman" w:cs="Times New Roman"/>
          <w:sz w:val="24"/>
          <w:szCs w:val="24"/>
        </w:rPr>
        <w:t>co można powiązać ze spadkiem liczby biegłych rewidentów wpisanych do rejestru, jak zaprezentowano na wykresie</w:t>
      </w:r>
      <w:r w:rsidR="00713C5A">
        <w:rPr>
          <w:rFonts w:ascii="Times New Roman" w:hAnsi="Times New Roman" w:cs="Times New Roman"/>
          <w:sz w:val="24"/>
          <w:szCs w:val="24"/>
        </w:rPr>
        <w:t xml:space="preserve"> </w:t>
      </w:r>
      <w:r w:rsidR="005D50E6">
        <w:rPr>
          <w:rFonts w:ascii="Times New Roman" w:hAnsi="Times New Roman" w:cs="Times New Roman"/>
          <w:sz w:val="24"/>
          <w:szCs w:val="24"/>
        </w:rPr>
        <w:t>2</w:t>
      </w:r>
      <w:r w:rsidR="00CD4004">
        <w:rPr>
          <w:rFonts w:ascii="Times New Roman" w:hAnsi="Times New Roman" w:cs="Times New Roman"/>
          <w:sz w:val="24"/>
          <w:szCs w:val="24"/>
        </w:rPr>
        <w:t xml:space="preserve">. Podobnie jak w przypadku zmniejszającej się liczby biegłych rewidentów, na zmniejszenie liczby firm audytorskich miały restrykcyjne regulacje prawne, wysokie kary finansowe, rosnące koszty prowadzenia </w:t>
      </w:r>
      <w:r w:rsidR="00CD4004">
        <w:rPr>
          <w:rFonts w:ascii="Times New Roman" w:hAnsi="Times New Roman" w:cs="Times New Roman"/>
          <w:sz w:val="24"/>
          <w:szCs w:val="24"/>
        </w:rPr>
        <w:lastRenderedPageBreak/>
        <w:t>działalności (</w:t>
      </w:r>
      <w:r w:rsidR="00C7220A">
        <w:rPr>
          <w:rFonts w:ascii="Times New Roman" w:hAnsi="Times New Roman" w:cs="Times New Roman"/>
          <w:sz w:val="24"/>
          <w:szCs w:val="24"/>
        </w:rPr>
        <w:t>np. rozszerzone wymogi dokumentacyjne, koszty szkoleń, zwiększone opłaty z tytułu nadzoru</w:t>
      </w:r>
      <w:r w:rsidR="00C7220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C7220A">
        <w:rPr>
          <w:rFonts w:ascii="Times New Roman" w:hAnsi="Times New Roman" w:cs="Times New Roman"/>
          <w:sz w:val="24"/>
          <w:szCs w:val="24"/>
        </w:rPr>
        <w:t>)</w:t>
      </w:r>
      <w:r w:rsidR="00CD4004">
        <w:rPr>
          <w:rFonts w:ascii="Times New Roman" w:hAnsi="Times New Roman" w:cs="Times New Roman"/>
          <w:sz w:val="24"/>
          <w:szCs w:val="24"/>
        </w:rPr>
        <w:t>.</w:t>
      </w:r>
    </w:p>
    <w:p w14:paraId="0DAC3693" w14:textId="77777777" w:rsidR="00A41A92" w:rsidRDefault="00A41A92" w:rsidP="003A6BD7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6550F" w14:textId="77777777" w:rsidR="003A6BD7" w:rsidRPr="00955245" w:rsidRDefault="003A6BD7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5245">
        <w:rPr>
          <w:rFonts w:ascii="Times New Roman" w:hAnsi="Times New Roman" w:cs="Times New Roman"/>
          <w:b/>
          <w:bCs/>
          <w:sz w:val="20"/>
          <w:szCs w:val="20"/>
        </w:rPr>
        <w:t xml:space="preserve">Wykres </w:t>
      </w:r>
      <w:r w:rsidR="0071040B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Ilość firm audytorskich w Polsce</w:t>
      </w:r>
    </w:p>
    <w:p w14:paraId="47E9E801" w14:textId="77777777" w:rsidR="003A6BD7" w:rsidRPr="006A75FE" w:rsidRDefault="0071040B" w:rsidP="003A6BD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C5F2CF" wp14:editId="4900CA93">
            <wp:extent cx="5454540" cy="3318642"/>
            <wp:effectExtent l="0" t="0" r="13335" b="1524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40D429EA-7B18-4AA4-BC73-436A997F0D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765A1B" w14:textId="77777777" w:rsidR="0071040B" w:rsidRPr="0001214F" w:rsidRDefault="0071040B" w:rsidP="0071040B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Źródło: opracowanie własne na podstawie danych uzyskanych z PIBR w dniu 11.02.2020</w:t>
      </w:r>
    </w:p>
    <w:p w14:paraId="1E6BC5A8" w14:textId="77777777" w:rsidR="0071040B" w:rsidRDefault="0071040B" w:rsidP="00656E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8A7DA6" w14:textId="77777777" w:rsidR="006A75FE" w:rsidRDefault="00584D01" w:rsidP="00656E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wskazuje J. Gad (2018, s. 12) k</w:t>
      </w:r>
      <w:r w:rsidRPr="00584D01">
        <w:rPr>
          <w:rFonts w:ascii="Times New Roman" w:hAnsi="Times New Roman" w:cs="Times New Roman"/>
          <w:sz w:val="24"/>
          <w:szCs w:val="24"/>
        </w:rPr>
        <w:t>oncentracja na rynku usług audytorskich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DC8">
        <w:rPr>
          <w:rFonts w:ascii="Times New Roman" w:hAnsi="Times New Roman" w:cs="Times New Roman"/>
          <w:sz w:val="24"/>
          <w:szCs w:val="24"/>
        </w:rPr>
        <w:t>skutkuje</w:t>
      </w:r>
      <w:r>
        <w:rPr>
          <w:rFonts w:ascii="Times New Roman" w:hAnsi="Times New Roman" w:cs="Times New Roman"/>
          <w:sz w:val="24"/>
          <w:szCs w:val="24"/>
        </w:rPr>
        <w:t xml:space="preserve"> się między innymi</w:t>
      </w:r>
      <w:r w:rsidRPr="00584D01">
        <w:rPr>
          <w:rFonts w:ascii="Times New Roman" w:hAnsi="Times New Roman" w:cs="Times New Roman"/>
          <w:sz w:val="24"/>
          <w:szCs w:val="24"/>
        </w:rPr>
        <w:t xml:space="preserve"> ograniczonymi możliwościami wyboru firmy audytorskie</w:t>
      </w:r>
      <w:r>
        <w:rPr>
          <w:rFonts w:ascii="Times New Roman" w:hAnsi="Times New Roman" w:cs="Times New Roman"/>
          <w:sz w:val="24"/>
          <w:szCs w:val="24"/>
        </w:rPr>
        <w:t>j</w:t>
      </w:r>
      <w:r w:rsidR="00836D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wzmacniając </w:t>
      </w:r>
      <w:r w:rsidRPr="00584D01">
        <w:rPr>
          <w:rFonts w:ascii="Times New Roman" w:hAnsi="Times New Roman" w:cs="Times New Roman"/>
          <w:sz w:val="24"/>
          <w:szCs w:val="24"/>
        </w:rPr>
        <w:t>pozycję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01">
        <w:rPr>
          <w:rFonts w:ascii="Times New Roman" w:hAnsi="Times New Roman" w:cs="Times New Roman"/>
          <w:sz w:val="24"/>
          <w:szCs w:val="24"/>
        </w:rPr>
        <w:t>rynkową największych firm audytorskich oraz redukuje motywację do poprawy jakości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01">
        <w:rPr>
          <w:rFonts w:ascii="Times New Roman" w:hAnsi="Times New Roman" w:cs="Times New Roman"/>
          <w:sz w:val="24"/>
          <w:szCs w:val="24"/>
        </w:rPr>
        <w:t>audytu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 </w:t>
      </w:r>
      <w:r w:rsidR="006A75FE">
        <w:rPr>
          <w:rFonts w:ascii="Times New Roman" w:hAnsi="Times New Roman" w:cs="Times New Roman"/>
          <w:sz w:val="24"/>
          <w:szCs w:val="24"/>
        </w:rPr>
        <w:t>Na podstawie danych Komisj</w:t>
      </w:r>
      <w:r w:rsidR="00657BF8">
        <w:rPr>
          <w:rFonts w:ascii="Times New Roman" w:hAnsi="Times New Roman" w:cs="Times New Roman"/>
          <w:sz w:val="24"/>
          <w:szCs w:val="24"/>
        </w:rPr>
        <w:t>i</w:t>
      </w:r>
      <w:r w:rsidR="006A75FE">
        <w:rPr>
          <w:rFonts w:ascii="Times New Roman" w:hAnsi="Times New Roman" w:cs="Times New Roman"/>
          <w:sz w:val="24"/>
          <w:szCs w:val="24"/>
        </w:rPr>
        <w:t xml:space="preserve"> Nadzoru Audytowego</w:t>
      </w:r>
      <w:r w:rsidR="00836DC8">
        <w:rPr>
          <w:rFonts w:ascii="Times New Roman" w:hAnsi="Times New Roman" w:cs="Times New Roman"/>
          <w:sz w:val="24"/>
          <w:szCs w:val="24"/>
        </w:rPr>
        <w:t xml:space="preserve"> (2019, s. 4)</w:t>
      </w:r>
      <w:r w:rsidR="006A75FE">
        <w:rPr>
          <w:rFonts w:ascii="Times New Roman" w:hAnsi="Times New Roman" w:cs="Times New Roman"/>
          <w:sz w:val="24"/>
          <w:szCs w:val="24"/>
        </w:rPr>
        <w:t xml:space="preserve"> w roku 2018 tylko 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74 firmy audytorskie przeprowadzały badania ustawowe </w:t>
      </w:r>
      <w:r w:rsidR="00657BF8">
        <w:rPr>
          <w:rFonts w:ascii="Times New Roman" w:hAnsi="Times New Roman" w:cs="Times New Roman"/>
          <w:sz w:val="24"/>
          <w:szCs w:val="24"/>
        </w:rPr>
        <w:t xml:space="preserve">sprawozdań finansowych </w:t>
      </w:r>
      <w:r w:rsidR="00035B09">
        <w:rPr>
          <w:rFonts w:ascii="Times New Roman" w:hAnsi="Times New Roman" w:cs="Times New Roman"/>
          <w:sz w:val="24"/>
          <w:szCs w:val="24"/>
        </w:rPr>
        <w:t>JZP</w:t>
      </w:r>
      <w:r w:rsidR="003A7500">
        <w:rPr>
          <w:rFonts w:ascii="Times New Roman" w:hAnsi="Times New Roman" w:cs="Times New Roman"/>
          <w:sz w:val="24"/>
          <w:szCs w:val="24"/>
        </w:rPr>
        <w:t xml:space="preserve">, </w:t>
      </w:r>
      <w:r w:rsidR="00C7220A">
        <w:rPr>
          <w:rFonts w:ascii="Times New Roman" w:hAnsi="Times New Roman" w:cs="Times New Roman"/>
          <w:sz w:val="24"/>
          <w:szCs w:val="24"/>
        </w:rPr>
        <w:t>czyli</w:t>
      </w:r>
      <w:r w:rsidR="003A7500">
        <w:rPr>
          <w:rFonts w:ascii="Times New Roman" w:hAnsi="Times New Roman" w:cs="Times New Roman"/>
          <w:sz w:val="24"/>
          <w:szCs w:val="24"/>
        </w:rPr>
        <w:t xml:space="preserve"> stanowi</w:t>
      </w:r>
      <w:r w:rsidR="00657BF8">
        <w:rPr>
          <w:rFonts w:ascii="Times New Roman" w:hAnsi="Times New Roman" w:cs="Times New Roman"/>
          <w:sz w:val="24"/>
          <w:szCs w:val="24"/>
        </w:rPr>
        <w:t>ło</w:t>
      </w:r>
      <w:r w:rsidR="003A7500">
        <w:rPr>
          <w:rFonts w:ascii="Times New Roman" w:hAnsi="Times New Roman" w:cs="Times New Roman"/>
          <w:sz w:val="24"/>
          <w:szCs w:val="24"/>
        </w:rPr>
        <w:t xml:space="preserve"> tylko 5% wszystkich firm audytorskich. 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Firmy te pod względem przychodów z tytułu rewizji finansowej </w:t>
      </w:r>
      <w:r w:rsidR="00657BF8">
        <w:rPr>
          <w:rFonts w:ascii="Times New Roman" w:hAnsi="Times New Roman" w:cs="Times New Roman"/>
          <w:sz w:val="24"/>
          <w:szCs w:val="24"/>
        </w:rPr>
        <w:t>stanowią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 ok. 70% rynku</w:t>
      </w:r>
      <w:r w:rsidR="003A7500">
        <w:rPr>
          <w:rFonts w:ascii="Times New Roman" w:hAnsi="Times New Roman" w:cs="Times New Roman"/>
          <w:sz w:val="24"/>
          <w:szCs w:val="24"/>
        </w:rPr>
        <w:t xml:space="preserve"> rewizji finansowej</w:t>
      </w:r>
      <w:r w:rsidR="006A75FE">
        <w:rPr>
          <w:rFonts w:ascii="Times New Roman" w:hAnsi="Times New Roman" w:cs="Times New Roman"/>
          <w:sz w:val="24"/>
          <w:szCs w:val="24"/>
        </w:rPr>
        <w:t xml:space="preserve">. Na 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rynku badań ustawowych sprawozdań finansowych </w:t>
      </w:r>
      <w:r w:rsidR="00035B09">
        <w:rPr>
          <w:rFonts w:ascii="Times New Roman" w:hAnsi="Times New Roman" w:cs="Times New Roman"/>
          <w:sz w:val="24"/>
          <w:szCs w:val="24"/>
        </w:rPr>
        <w:t>JZP</w:t>
      </w:r>
      <w:r w:rsidR="006A75FE">
        <w:rPr>
          <w:rFonts w:ascii="Times New Roman" w:hAnsi="Times New Roman" w:cs="Times New Roman"/>
          <w:sz w:val="24"/>
          <w:szCs w:val="24"/>
        </w:rPr>
        <w:t xml:space="preserve"> 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dominują firmy z tzw. wielkiej czwórki (Deloitte, E&amp;Y, KPMG, </w:t>
      </w:r>
      <w:proofErr w:type="spellStart"/>
      <w:r w:rsidR="006A75FE" w:rsidRPr="006A75FE">
        <w:rPr>
          <w:rFonts w:ascii="Times New Roman" w:hAnsi="Times New Roman" w:cs="Times New Roman"/>
          <w:sz w:val="24"/>
          <w:szCs w:val="24"/>
        </w:rPr>
        <w:t>PwC</w:t>
      </w:r>
      <w:proofErr w:type="spellEnd"/>
      <w:r w:rsidR="006A75FE" w:rsidRPr="006A75FE">
        <w:rPr>
          <w:rFonts w:ascii="Times New Roman" w:hAnsi="Times New Roman" w:cs="Times New Roman"/>
          <w:sz w:val="24"/>
          <w:szCs w:val="24"/>
        </w:rPr>
        <w:t>)</w:t>
      </w:r>
      <w:r w:rsidR="006A75FE">
        <w:rPr>
          <w:rFonts w:ascii="Times New Roman" w:hAnsi="Times New Roman" w:cs="Times New Roman"/>
          <w:sz w:val="24"/>
          <w:szCs w:val="24"/>
        </w:rPr>
        <w:t xml:space="preserve">, które 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łącznie osiągnęły 74,8% przychodów z badań ustawowych na rzecz </w:t>
      </w:r>
      <w:r w:rsidR="00035B09">
        <w:rPr>
          <w:rFonts w:ascii="Times New Roman" w:hAnsi="Times New Roman" w:cs="Times New Roman"/>
          <w:sz w:val="24"/>
          <w:szCs w:val="24"/>
        </w:rPr>
        <w:t>JZP</w:t>
      </w:r>
      <w:r w:rsidR="006A75FE" w:rsidRPr="006A75FE">
        <w:rPr>
          <w:rFonts w:ascii="Times New Roman" w:hAnsi="Times New Roman" w:cs="Times New Roman"/>
          <w:sz w:val="24"/>
          <w:szCs w:val="24"/>
        </w:rPr>
        <w:t xml:space="preserve"> w Polsce w 2018 r</w:t>
      </w:r>
      <w:r w:rsidR="006A75FE">
        <w:rPr>
          <w:rFonts w:ascii="Times New Roman" w:hAnsi="Times New Roman" w:cs="Times New Roman"/>
          <w:sz w:val="24"/>
          <w:szCs w:val="24"/>
        </w:rPr>
        <w:t>.</w:t>
      </w:r>
      <w:r w:rsidR="00704886">
        <w:rPr>
          <w:rFonts w:ascii="Times New Roman" w:hAnsi="Times New Roman" w:cs="Times New Roman"/>
          <w:sz w:val="24"/>
          <w:szCs w:val="24"/>
        </w:rPr>
        <w:t xml:space="preserve"> Na podstawie danych zaprezentowanych w raporcie World Bank Group (2016, s. 9) ilość firm audytorskich badających </w:t>
      </w:r>
      <w:r w:rsidR="00035B09">
        <w:rPr>
          <w:rFonts w:ascii="Times New Roman" w:hAnsi="Times New Roman" w:cs="Times New Roman"/>
          <w:sz w:val="24"/>
          <w:szCs w:val="24"/>
        </w:rPr>
        <w:t>JZP</w:t>
      </w:r>
      <w:r w:rsidR="00704886">
        <w:rPr>
          <w:rFonts w:ascii="Times New Roman" w:hAnsi="Times New Roman" w:cs="Times New Roman"/>
          <w:sz w:val="24"/>
          <w:szCs w:val="24"/>
        </w:rPr>
        <w:t xml:space="preserve"> uległa zmniejszeniu. W 2013 było ich 155 , w 2014 liczba spadła do127 a w 2015 wynosiła 12</w:t>
      </w:r>
      <w:r w:rsidR="00E50C2B">
        <w:rPr>
          <w:rFonts w:ascii="Times New Roman" w:hAnsi="Times New Roman" w:cs="Times New Roman"/>
          <w:sz w:val="24"/>
          <w:szCs w:val="24"/>
        </w:rPr>
        <w:t>3</w:t>
      </w:r>
      <w:r w:rsidR="00704886">
        <w:rPr>
          <w:rFonts w:ascii="Times New Roman" w:hAnsi="Times New Roman" w:cs="Times New Roman"/>
          <w:sz w:val="24"/>
          <w:szCs w:val="24"/>
        </w:rPr>
        <w:t xml:space="preserve">. </w:t>
      </w:r>
      <w:r w:rsidR="00E50C2B">
        <w:rPr>
          <w:rFonts w:ascii="Times New Roman" w:hAnsi="Times New Roman" w:cs="Times New Roman"/>
          <w:sz w:val="24"/>
          <w:szCs w:val="24"/>
        </w:rPr>
        <w:t>należy zwrócić uwagę na fakt,</w:t>
      </w:r>
      <w:r w:rsidR="00704886">
        <w:rPr>
          <w:rFonts w:ascii="Times New Roman" w:hAnsi="Times New Roman" w:cs="Times New Roman"/>
          <w:sz w:val="24"/>
          <w:szCs w:val="24"/>
        </w:rPr>
        <w:t xml:space="preserve"> że w ciągu pięciu lat rynek firm audytorskich badających </w:t>
      </w:r>
      <w:r w:rsidR="00035B09">
        <w:rPr>
          <w:rFonts w:ascii="Times New Roman" w:hAnsi="Times New Roman" w:cs="Times New Roman"/>
          <w:sz w:val="24"/>
          <w:szCs w:val="24"/>
        </w:rPr>
        <w:t>JZP</w:t>
      </w:r>
      <w:r w:rsidR="00704886">
        <w:rPr>
          <w:rFonts w:ascii="Times New Roman" w:hAnsi="Times New Roman" w:cs="Times New Roman"/>
          <w:sz w:val="24"/>
          <w:szCs w:val="24"/>
        </w:rPr>
        <w:t xml:space="preserve"> uległ zmniejszeniu o 48%.</w:t>
      </w:r>
      <w:r w:rsidR="000D50E8">
        <w:rPr>
          <w:rFonts w:ascii="Times New Roman" w:hAnsi="Times New Roman" w:cs="Times New Roman"/>
          <w:sz w:val="24"/>
          <w:szCs w:val="24"/>
        </w:rPr>
        <w:t xml:space="preserve"> Również Komisja </w:t>
      </w:r>
      <w:r w:rsidR="000D50E8">
        <w:rPr>
          <w:rFonts w:ascii="Times New Roman" w:hAnsi="Times New Roman" w:cs="Times New Roman"/>
          <w:sz w:val="24"/>
          <w:szCs w:val="24"/>
        </w:rPr>
        <w:lastRenderedPageBreak/>
        <w:t xml:space="preserve">Europejska (2017, s. </w:t>
      </w:r>
      <w:r w:rsidR="002763AF">
        <w:rPr>
          <w:rFonts w:ascii="Times New Roman" w:hAnsi="Times New Roman" w:cs="Times New Roman"/>
          <w:sz w:val="24"/>
          <w:szCs w:val="24"/>
        </w:rPr>
        <w:t>8</w:t>
      </w:r>
      <w:r w:rsidR="000D50E8">
        <w:rPr>
          <w:rFonts w:ascii="Times New Roman" w:hAnsi="Times New Roman" w:cs="Times New Roman"/>
          <w:sz w:val="24"/>
          <w:szCs w:val="24"/>
        </w:rPr>
        <w:t>) zauważa, że w krajach Unii Europejskiej nastąpiło zdominowanie rynku badań ustawowych sprawozdań finansowych JZP przez firmy należące do wielkiej czwórki.</w:t>
      </w:r>
      <w:r w:rsidR="001A4F8F">
        <w:rPr>
          <w:rFonts w:ascii="Times New Roman" w:hAnsi="Times New Roman" w:cs="Times New Roman"/>
          <w:sz w:val="24"/>
          <w:szCs w:val="24"/>
        </w:rPr>
        <w:t xml:space="preserve"> Na podstawie danych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 z 28 państw członkowskich</w:t>
      </w:r>
      <w:r w:rsidR="001A4F8F">
        <w:rPr>
          <w:rFonts w:ascii="Times New Roman" w:hAnsi="Times New Roman" w:cs="Times New Roman"/>
          <w:sz w:val="24"/>
          <w:szCs w:val="24"/>
        </w:rPr>
        <w:t xml:space="preserve"> u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dział wielkiej czwórki w rynku </w:t>
      </w:r>
      <w:r w:rsidR="001A4F8F">
        <w:rPr>
          <w:rFonts w:ascii="Times New Roman" w:hAnsi="Times New Roman" w:cs="Times New Roman"/>
          <w:sz w:val="24"/>
          <w:szCs w:val="24"/>
        </w:rPr>
        <w:t xml:space="preserve">badania sprawozdań finansowych </w:t>
      </w:r>
      <w:r w:rsidR="001A4F8F" w:rsidRPr="001A4F8F">
        <w:rPr>
          <w:rFonts w:ascii="Times New Roman" w:hAnsi="Times New Roman" w:cs="Times New Roman"/>
          <w:sz w:val="24"/>
          <w:szCs w:val="24"/>
        </w:rPr>
        <w:t>jednostek interesu publicznego</w:t>
      </w:r>
      <w:r w:rsidR="001A4F8F">
        <w:rPr>
          <w:rFonts w:ascii="Times New Roman" w:hAnsi="Times New Roman" w:cs="Times New Roman"/>
          <w:sz w:val="24"/>
          <w:szCs w:val="24"/>
        </w:rPr>
        <w:t xml:space="preserve"> </w:t>
      </w:r>
      <w:r w:rsidR="001A4F8F" w:rsidRPr="001A4F8F">
        <w:rPr>
          <w:rFonts w:ascii="Times New Roman" w:hAnsi="Times New Roman" w:cs="Times New Roman"/>
          <w:sz w:val="24"/>
          <w:szCs w:val="24"/>
        </w:rPr>
        <w:t>wynosi</w:t>
      </w:r>
      <w:r w:rsidR="007F67E0">
        <w:rPr>
          <w:rFonts w:ascii="Times New Roman" w:hAnsi="Times New Roman" w:cs="Times New Roman"/>
          <w:sz w:val="24"/>
          <w:szCs w:val="24"/>
        </w:rPr>
        <w:t>ł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 </w:t>
      </w:r>
      <w:r w:rsidR="007F67E0">
        <w:rPr>
          <w:rFonts w:ascii="Times New Roman" w:hAnsi="Times New Roman" w:cs="Times New Roman"/>
          <w:sz w:val="24"/>
          <w:szCs w:val="24"/>
        </w:rPr>
        <w:t>prawie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 70 % </w:t>
      </w:r>
      <w:r w:rsidR="007F67E0">
        <w:rPr>
          <w:rFonts w:ascii="Times New Roman" w:hAnsi="Times New Roman" w:cs="Times New Roman"/>
          <w:sz w:val="24"/>
          <w:szCs w:val="24"/>
        </w:rPr>
        <w:t>w 2015 r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. </w:t>
      </w:r>
      <w:r w:rsidR="002763AF">
        <w:rPr>
          <w:rFonts w:ascii="Times New Roman" w:hAnsi="Times New Roman" w:cs="Times New Roman"/>
          <w:sz w:val="24"/>
          <w:szCs w:val="24"/>
        </w:rPr>
        <w:t>W</w:t>
      </w:r>
      <w:r w:rsidR="002763AF" w:rsidRPr="001A4F8F">
        <w:rPr>
          <w:rFonts w:ascii="Times New Roman" w:hAnsi="Times New Roman" w:cs="Times New Roman"/>
          <w:sz w:val="24"/>
          <w:szCs w:val="24"/>
        </w:rPr>
        <w:t xml:space="preserve"> oparciu o dane z 21 państw członkowskich</w:t>
      </w:r>
      <w:r w:rsidR="002763AF">
        <w:rPr>
          <w:rFonts w:ascii="Times New Roman" w:hAnsi="Times New Roman" w:cs="Times New Roman"/>
          <w:sz w:val="24"/>
          <w:szCs w:val="24"/>
        </w:rPr>
        <w:t>, p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od względem obrotów koncentracja rynku </w:t>
      </w:r>
      <w:r w:rsidR="007F67E0">
        <w:rPr>
          <w:rFonts w:ascii="Times New Roman" w:hAnsi="Times New Roman" w:cs="Times New Roman"/>
          <w:sz w:val="24"/>
          <w:szCs w:val="24"/>
        </w:rPr>
        <w:t xml:space="preserve">w tym okresie </w:t>
      </w:r>
      <w:r w:rsidR="001A4F8F" w:rsidRPr="001A4F8F">
        <w:rPr>
          <w:rFonts w:ascii="Times New Roman" w:hAnsi="Times New Roman" w:cs="Times New Roman"/>
          <w:sz w:val="24"/>
          <w:szCs w:val="24"/>
        </w:rPr>
        <w:t>wynosi</w:t>
      </w:r>
      <w:r w:rsidR="007F67E0">
        <w:rPr>
          <w:rFonts w:ascii="Times New Roman" w:hAnsi="Times New Roman" w:cs="Times New Roman"/>
          <w:sz w:val="24"/>
          <w:szCs w:val="24"/>
        </w:rPr>
        <w:t>ła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 średnio około 80 %. </w:t>
      </w:r>
      <w:r w:rsidR="007F67E0">
        <w:rPr>
          <w:rFonts w:ascii="Times New Roman" w:hAnsi="Times New Roman" w:cs="Times New Roman"/>
          <w:sz w:val="24"/>
          <w:szCs w:val="24"/>
        </w:rPr>
        <w:t>Wg danych Komisji Europejskiej (2017, s. 8) w</w:t>
      </w:r>
      <w:r w:rsidR="001A4F8F" w:rsidRPr="001A4F8F">
        <w:rPr>
          <w:rFonts w:ascii="Times New Roman" w:hAnsi="Times New Roman" w:cs="Times New Roman"/>
          <w:sz w:val="24"/>
          <w:szCs w:val="24"/>
        </w:rPr>
        <w:t>ielka czwórka posiada</w:t>
      </w:r>
      <w:r w:rsidR="007F67E0">
        <w:rPr>
          <w:rFonts w:ascii="Times New Roman" w:hAnsi="Times New Roman" w:cs="Times New Roman"/>
          <w:sz w:val="24"/>
          <w:szCs w:val="24"/>
        </w:rPr>
        <w:t>ła</w:t>
      </w:r>
      <w:r w:rsidR="001A4F8F" w:rsidRPr="001A4F8F">
        <w:rPr>
          <w:rFonts w:ascii="Times New Roman" w:hAnsi="Times New Roman" w:cs="Times New Roman"/>
          <w:sz w:val="24"/>
          <w:szCs w:val="24"/>
        </w:rPr>
        <w:t xml:space="preserve"> koncentrację na poziomie oligopolu pod względem liczby badań ustawowych w 11państwach członkowskich a w 15 państwach członkowskich – pod względem obrotów.</w:t>
      </w:r>
      <w:r w:rsidR="001A4F8F">
        <w:rPr>
          <w:rFonts w:ascii="Times New Roman" w:hAnsi="Times New Roman" w:cs="Times New Roman"/>
          <w:sz w:val="24"/>
          <w:szCs w:val="24"/>
        </w:rPr>
        <w:t xml:space="preserve"> </w:t>
      </w:r>
      <w:r w:rsidR="007F67E0">
        <w:rPr>
          <w:rFonts w:ascii="Times New Roman" w:hAnsi="Times New Roman" w:cs="Times New Roman"/>
          <w:sz w:val="24"/>
          <w:szCs w:val="24"/>
        </w:rPr>
        <w:t xml:space="preserve">Zdaniem Komisji Europejskiej (2017, s. 15) </w:t>
      </w:r>
      <w:r w:rsidR="007F67E0" w:rsidRPr="007F67E0">
        <w:rPr>
          <w:rFonts w:ascii="Times New Roman" w:hAnsi="Times New Roman" w:cs="Times New Roman"/>
          <w:sz w:val="24"/>
          <w:szCs w:val="24"/>
        </w:rPr>
        <w:t>rynek badań ustawowych jednostek interesu publicznego wykazuje stosunkowo wysoką koncentrację w większości państw członkowskich, zwłaszcza w zakresie obrotów</w:t>
      </w:r>
      <w:r w:rsidR="007F67E0">
        <w:rPr>
          <w:rFonts w:ascii="Times New Roman" w:hAnsi="Times New Roman" w:cs="Times New Roman"/>
          <w:sz w:val="24"/>
          <w:szCs w:val="24"/>
        </w:rPr>
        <w:t>.</w:t>
      </w:r>
      <w:r w:rsidR="007F67E0" w:rsidRPr="007F67E0">
        <w:rPr>
          <w:rStyle w:val="Odwoanieprzypisudolnego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7F67E0">
        <w:rPr>
          <w:rFonts w:ascii="Times New Roman" w:hAnsi="Times New Roman" w:cs="Times New Roman"/>
          <w:sz w:val="24"/>
          <w:szCs w:val="24"/>
        </w:rPr>
        <w:t>Zmiany regulacji</w:t>
      </w:r>
      <w:r w:rsidR="00656E15">
        <w:rPr>
          <w:rFonts w:ascii="Times New Roman" w:hAnsi="Times New Roman" w:cs="Times New Roman"/>
          <w:sz w:val="24"/>
          <w:szCs w:val="24"/>
        </w:rPr>
        <w:t xml:space="preserve"> na poziomie unijnym (Dyrektywa </w:t>
      </w:r>
      <w:r w:rsidR="00656E15" w:rsidRPr="00656E15">
        <w:rPr>
          <w:rFonts w:ascii="Times New Roman" w:hAnsi="Times New Roman" w:cs="Times New Roman"/>
          <w:sz w:val="24"/>
          <w:szCs w:val="24"/>
        </w:rPr>
        <w:t xml:space="preserve">Parlamentu Europejskiego i Rady </w:t>
      </w:r>
      <w:r w:rsidR="00656E15">
        <w:rPr>
          <w:rFonts w:ascii="Times New Roman" w:hAnsi="Times New Roman" w:cs="Times New Roman" w:hint="eastAsia"/>
          <w:sz w:val="24"/>
          <w:szCs w:val="24"/>
        </w:rPr>
        <w:t>n</w:t>
      </w:r>
      <w:r w:rsidR="00656E15">
        <w:rPr>
          <w:rFonts w:ascii="Times New Roman" w:hAnsi="Times New Roman" w:cs="Times New Roman"/>
          <w:sz w:val="24"/>
          <w:szCs w:val="24"/>
        </w:rPr>
        <w:t xml:space="preserve">r </w:t>
      </w:r>
      <w:r w:rsidR="00656E15" w:rsidRPr="00656E15">
        <w:rPr>
          <w:rFonts w:ascii="Times New Roman" w:hAnsi="Times New Roman" w:cs="Times New Roman"/>
          <w:sz w:val="24"/>
          <w:szCs w:val="24"/>
        </w:rPr>
        <w:t xml:space="preserve">2013/34/UE i </w:t>
      </w:r>
      <w:r w:rsidR="00656E15">
        <w:rPr>
          <w:rFonts w:ascii="Times New Roman" w:hAnsi="Times New Roman" w:cs="Times New Roman"/>
          <w:sz w:val="24"/>
          <w:szCs w:val="24"/>
        </w:rPr>
        <w:t xml:space="preserve">nr </w:t>
      </w:r>
      <w:r w:rsidR="00656E15" w:rsidRPr="00656E15">
        <w:rPr>
          <w:rFonts w:ascii="Times New Roman" w:hAnsi="Times New Roman" w:cs="Times New Roman"/>
          <w:sz w:val="24"/>
          <w:szCs w:val="24"/>
        </w:rPr>
        <w:t>2014/56/UE oraz Rozporz</w:t>
      </w:r>
      <w:r w:rsidR="00656E15" w:rsidRPr="00656E15">
        <w:rPr>
          <w:rFonts w:ascii="Times New Roman" w:hAnsi="Times New Roman" w:cs="Times New Roman" w:hint="eastAsia"/>
          <w:sz w:val="24"/>
          <w:szCs w:val="24"/>
        </w:rPr>
        <w:t>ą</w:t>
      </w:r>
      <w:r w:rsidR="00656E15" w:rsidRPr="00656E15">
        <w:rPr>
          <w:rFonts w:ascii="Times New Roman" w:hAnsi="Times New Roman" w:cs="Times New Roman"/>
          <w:sz w:val="24"/>
          <w:szCs w:val="24"/>
        </w:rPr>
        <w:t>dzenia Parlamentu Europejskiego i Rady</w:t>
      </w:r>
      <w:r w:rsidR="00656E15">
        <w:rPr>
          <w:rFonts w:ascii="Times New Roman" w:hAnsi="Times New Roman" w:cs="Times New Roman"/>
          <w:sz w:val="24"/>
          <w:szCs w:val="24"/>
        </w:rPr>
        <w:t xml:space="preserve"> </w:t>
      </w:r>
      <w:r w:rsidR="00656E15" w:rsidRPr="00656E15">
        <w:rPr>
          <w:rFonts w:ascii="Times New Roman" w:hAnsi="Times New Roman" w:cs="Times New Roman"/>
          <w:sz w:val="24"/>
          <w:szCs w:val="24"/>
        </w:rPr>
        <w:t>(UE) nr 537/2014</w:t>
      </w:r>
      <w:r w:rsidR="00656E15">
        <w:rPr>
          <w:rFonts w:ascii="Times New Roman" w:hAnsi="Times New Roman" w:cs="Times New Roman"/>
          <w:sz w:val="24"/>
          <w:szCs w:val="24"/>
        </w:rPr>
        <w:t xml:space="preserve">) dotyczące </w:t>
      </w:r>
      <w:r w:rsidR="00656E15" w:rsidRPr="00656E15">
        <w:rPr>
          <w:rFonts w:ascii="Times New Roman" w:hAnsi="Times New Roman" w:cs="Times New Roman"/>
          <w:sz w:val="24"/>
          <w:szCs w:val="24"/>
        </w:rPr>
        <w:t>obowi</w:t>
      </w:r>
      <w:r w:rsidR="00656E15" w:rsidRPr="00656E15">
        <w:rPr>
          <w:rFonts w:ascii="Times New Roman" w:hAnsi="Times New Roman" w:cs="Times New Roman" w:hint="eastAsia"/>
          <w:sz w:val="24"/>
          <w:szCs w:val="24"/>
        </w:rPr>
        <w:t>ą</w:t>
      </w:r>
      <w:r w:rsidR="00656E15" w:rsidRPr="00656E15">
        <w:rPr>
          <w:rFonts w:ascii="Times New Roman" w:hAnsi="Times New Roman" w:cs="Times New Roman"/>
          <w:sz w:val="24"/>
          <w:szCs w:val="24"/>
        </w:rPr>
        <w:t>zkowej rotacji firm audytorskich</w:t>
      </w:r>
      <w:r w:rsidR="00656E15">
        <w:rPr>
          <w:rFonts w:ascii="Times New Roman" w:hAnsi="Times New Roman" w:cs="Times New Roman"/>
          <w:sz w:val="24"/>
          <w:szCs w:val="24"/>
        </w:rPr>
        <w:t xml:space="preserve"> i biegłych rewidentów oraz </w:t>
      </w:r>
      <w:r w:rsidR="00656E15" w:rsidRPr="00656E15">
        <w:rPr>
          <w:rFonts w:ascii="Times New Roman" w:hAnsi="Times New Roman" w:cs="Times New Roman"/>
          <w:sz w:val="24"/>
          <w:szCs w:val="24"/>
        </w:rPr>
        <w:t>nowych obowi</w:t>
      </w:r>
      <w:r w:rsidR="00656E15" w:rsidRPr="00656E15">
        <w:rPr>
          <w:rFonts w:ascii="Times New Roman" w:hAnsi="Times New Roman" w:cs="Times New Roman" w:hint="eastAsia"/>
          <w:sz w:val="24"/>
          <w:szCs w:val="24"/>
        </w:rPr>
        <w:t>ą</w:t>
      </w:r>
      <w:r w:rsidR="00656E15" w:rsidRPr="00656E15">
        <w:rPr>
          <w:rFonts w:ascii="Times New Roman" w:hAnsi="Times New Roman" w:cs="Times New Roman"/>
          <w:sz w:val="24"/>
          <w:szCs w:val="24"/>
        </w:rPr>
        <w:t>zk</w:t>
      </w:r>
      <w:r w:rsidR="00656E15" w:rsidRPr="00656E15">
        <w:rPr>
          <w:rFonts w:ascii="Times New Roman" w:hAnsi="Times New Roman" w:cs="Times New Roman" w:hint="eastAsia"/>
          <w:sz w:val="24"/>
          <w:szCs w:val="24"/>
        </w:rPr>
        <w:t>ó</w:t>
      </w:r>
      <w:r w:rsidR="00656E15" w:rsidRPr="00656E15">
        <w:rPr>
          <w:rFonts w:ascii="Times New Roman" w:hAnsi="Times New Roman" w:cs="Times New Roman"/>
          <w:sz w:val="24"/>
          <w:szCs w:val="24"/>
        </w:rPr>
        <w:t>w komitet</w:t>
      </w:r>
      <w:r w:rsidR="00656E15" w:rsidRPr="00656E15">
        <w:rPr>
          <w:rFonts w:ascii="Times New Roman" w:hAnsi="Times New Roman" w:cs="Times New Roman" w:hint="eastAsia"/>
          <w:sz w:val="24"/>
          <w:szCs w:val="24"/>
        </w:rPr>
        <w:t>ó</w:t>
      </w:r>
      <w:r w:rsidR="00656E15" w:rsidRPr="00656E15">
        <w:rPr>
          <w:rFonts w:ascii="Times New Roman" w:hAnsi="Times New Roman" w:cs="Times New Roman"/>
          <w:sz w:val="24"/>
          <w:szCs w:val="24"/>
        </w:rPr>
        <w:t>w audytu zwi</w:t>
      </w:r>
      <w:r w:rsidR="00656E15" w:rsidRPr="00656E15">
        <w:rPr>
          <w:rFonts w:ascii="Times New Roman" w:hAnsi="Times New Roman" w:cs="Times New Roman" w:hint="eastAsia"/>
          <w:sz w:val="24"/>
          <w:szCs w:val="24"/>
        </w:rPr>
        <w:t>ą</w:t>
      </w:r>
      <w:r w:rsidR="00656E15" w:rsidRPr="00656E15">
        <w:rPr>
          <w:rFonts w:ascii="Times New Roman" w:hAnsi="Times New Roman" w:cs="Times New Roman"/>
          <w:sz w:val="24"/>
          <w:szCs w:val="24"/>
        </w:rPr>
        <w:t>zanych z wyborem firmy audytorskiej</w:t>
      </w:r>
      <w:r w:rsidR="00656E15">
        <w:rPr>
          <w:rFonts w:ascii="Times New Roman" w:hAnsi="Times New Roman" w:cs="Times New Roman"/>
          <w:sz w:val="24"/>
          <w:szCs w:val="24"/>
        </w:rPr>
        <w:t xml:space="preserve"> miały na celu </w:t>
      </w:r>
      <w:r w:rsidR="00656E15" w:rsidRPr="00656E15">
        <w:rPr>
          <w:rFonts w:ascii="Times New Roman" w:hAnsi="Times New Roman" w:cs="Times New Roman"/>
          <w:sz w:val="24"/>
          <w:szCs w:val="24"/>
        </w:rPr>
        <w:t>wzmocni</w:t>
      </w:r>
      <w:r w:rsidR="00656E15">
        <w:rPr>
          <w:rFonts w:ascii="Times New Roman" w:hAnsi="Times New Roman" w:cs="Times New Roman"/>
          <w:sz w:val="24"/>
          <w:szCs w:val="24"/>
        </w:rPr>
        <w:t>ć</w:t>
      </w:r>
      <w:r w:rsidR="00656E15" w:rsidRPr="00656E15">
        <w:rPr>
          <w:rFonts w:ascii="Times New Roman" w:hAnsi="Times New Roman" w:cs="Times New Roman"/>
          <w:sz w:val="24"/>
          <w:szCs w:val="24"/>
        </w:rPr>
        <w:t xml:space="preserve"> niezależność i obiektywizm biegłych rewidentów i firm audytorskich. </w:t>
      </w:r>
      <w:r w:rsidR="00656E15">
        <w:rPr>
          <w:rFonts w:ascii="Times New Roman" w:hAnsi="Times New Roman" w:cs="Times New Roman"/>
          <w:sz w:val="24"/>
          <w:szCs w:val="24"/>
        </w:rPr>
        <w:t xml:space="preserve">Wg Ministerstwa Finansów (2017) działania te wpłyną na </w:t>
      </w:r>
      <w:r w:rsidR="00656E15" w:rsidRPr="00656E15">
        <w:rPr>
          <w:rFonts w:ascii="Times New Roman" w:hAnsi="Times New Roman" w:cs="Times New Roman"/>
          <w:sz w:val="24"/>
          <w:szCs w:val="24"/>
        </w:rPr>
        <w:t>ograniczenie przewagi konkurencyjnej dużych firm sieciowych i otwarcie możliwości wejścia na rynek innym podmiotom wpłynie na dekoncentrację rynku badań ustawowych JZP</w:t>
      </w:r>
      <w:r w:rsidR="00656E15">
        <w:rPr>
          <w:rFonts w:ascii="Times New Roman" w:hAnsi="Times New Roman" w:cs="Times New Roman"/>
          <w:sz w:val="24"/>
          <w:szCs w:val="24"/>
        </w:rPr>
        <w:t>.</w:t>
      </w:r>
    </w:p>
    <w:p w14:paraId="070304F4" w14:textId="77777777" w:rsidR="008837D6" w:rsidRDefault="008837D6" w:rsidP="001B4E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832">
        <w:rPr>
          <w:rFonts w:ascii="Times New Roman" w:hAnsi="Times New Roman" w:cs="Times New Roman"/>
          <w:sz w:val="24"/>
          <w:szCs w:val="24"/>
        </w:rPr>
        <w:t xml:space="preserve">Jak podaje </w:t>
      </w:r>
      <w:r w:rsidR="00C7220A">
        <w:rPr>
          <w:rFonts w:ascii="Times New Roman" w:hAnsi="Times New Roman" w:cs="Times New Roman"/>
          <w:sz w:val="24"/>
          <w:szCs w:val="24"/>
        </w:rPr>
        <w:t xml:space="preserve">K. </w:t>
      </w:r>
      <w:r w:rsidRPr="00491832">
        <w:rPr>
          <w:rFonts w:ascii="Times New Roman" w:hAnsi="Times New Roman" w:cs="Times New Roman"/>
          <w:sz w:val="24"/>
          <w:szCs w:val="24"/>
        </w:rPr>
        <w:t>Kucharczyk (2018) około 160 podmiotów musiało zmienić audytora</w:t>
      </w:r>
      <w:r w:rsidR="00491832">
        <w:rPr>
          <w:rFonts w:ascii="Times New Roman" w:hAnsi="Times New Roman" w:cs="Times New Roman"/>
          <w:sz w:val="24"/>
          <w:szCs w:val="24"/>
        </w:rPr>
        <w:t xml:space="preserve"> do badania sprawozdań finansowych za 2018 r. na skutek </w:t>
      </w:r>
      <w:r w:rsidR="00E50C2B">
        <w:rPr>
          <w:rFonts w:ascii="Times New Roman" w:hAnsi="Times New Roman" w:cs="Times New Roman"/>
          <w:sz w:val="24"/>
          <w:szCs w:val="24"/>
        </w:rPr>
        <w:t xml:space="preserve">wprowadzenia </w:t>
      </w:r>
      <w:r w:rsidR="00491832">
        <w:rPr>
          <w:rFonts w:ascii="Times New Roman" w:hAnsi="Times New Roman" w:cs="Times New Roman"/>
          <w:sz w:val="24"/>
          <w:szCs w:val="24"/>
        </w:rPr>
        <w:t>nowych wymogów rotacji firm audytorskich i biegłych rewidentów.</w:t>
      </w:r>
      <w:r w:rsidRPr="00491832">
        <w:rPr>
          <w:rFonts w:ascii="Times New Roman" w:hAnsi="Times New Roman" w:cs="Times New Roman"/>
          <w:sz w:val="24"/>
          <w:szCs w:val="24"/>
        </w:rPr>
        <w:t xml:space="preserve"> </w:t>
      </w:r>
      <w:r w:rsidR="00491832">
        <w:rPr>
          <w:rFonts w:ascii="Times New Roman" w:hAnsi="Times New Roman" w:cs="Times New Roman"/>
          <w:sz w:val="24"/>
          <w:szCs w:val="24"/>
        </w:rPr>
        <w:t xml:space="preserve">Jak twierdzi </w:t>
      </w:r>
      <w:r w:rsidR="00D32E78">
        <w:rPr>
          <w:rFonts w:ascii="Times New Roman" w:hAnsi="Times New Roman" w:cs="Times New Roman"/>
          <w:sz w:val="24"/>
          <w:szCs w:val="24"/>
        </w:rPr>
        <w:t xml:space="preserve">P. </w:t>
      </w:r>
      <w:r w:rsidR="00491832" w:rsidRPr="00491832">
        <w:rPr>
          <w:rFonts w:ascii="Times New Roman" w:hAnsi="Times New Roman" w:cs="Times New Roman"/>
          <w:sz w:val="24"/>
          <w:szCs w:val="24"/>
        </w:rPr>
        <w:t>Zaczyński</w:t>
      </w:r>
      <w:r w:rsidR="00910C15">
        <w:rPr>
          <w:rFonts w:ascii="Times New Roman" w:hAnsi="Times New Roman" w:cs="Times New Roman"/>
          <w:sz w:val="24"/>
          <w:szCs w:val="24"/>
        </w:rPr>
        <w:t xml:space="preserve"> </w:t>
      </w:r>
      <w:r w:rsidR="00491832">
        <w:rPr>
          <w:rFonts w:ascii="Times New Roman" w:hAnsi="Times New Roman" w:cs="Times New Roman"/>
          <w:sz w:val="24"/>
          <w:szCs w:val="24"/>
        </w:rPr>
        <w:t>(2018), te z</w:t>
      </w:r>
      <w:r w:rsidRPr="00491832">
        <w:rPr>
          <w:rFonts w:ascii="Times New Roman" w:hAnsi="Times New Roman" w:cs="Times New Roman"/>
          <w:sz w:val="24"/>
          <w:szCs w:val="24"/>
        </w:rPr>
        <w:t xml:space="preserve">miany nie uderzyły </w:t>
      </w:r>
      <w:r w:rsidR="00910C15">
        <w:rPr>
          <w:rFonts w:ascii="Times New Roman" w:hAnsi="Times New Roman" w:cs="Times New Roman"/>
          <w:sz w:val="24"/>
          <w:szCs w:val="24"/>
        </w:rPr>
        <w:t>istotnie w liderów rynku audytu w Polsce</w:t>
      </w:r>
      <w:r w:rsidRPr="00491832">
        <w:rPr>
          <w:rFonts w:ascii="Times New Roman" w:hAnsi="Times New Roman" w:cs="Times New Roman"/>
          <w:sz w:val="24"/>
          <w:szCs w:val="24"/>
        </w:rPr>
        <w:t xml:space="preserve">, ponieważ w przypadku konieczności zmiany audytora duzi klienci najczęściej przechodzili do </w:t>
      </w:r>
      <w:r w:rsidR="00491832" w:rsidRPr="00491832">
        <w:rPr>
          <w:rFonts w:ascii="Times New Roman" w:hAnsi="Times New Roman" w:cs="Times New Roman"/>
          <w:sz w:val="24"/>
          <w:szCs w:val="24"/>
        </w:rPr>
        <w:t>innej firmy audytorskiej</w:t>
      </w:r>
      <w:r w:rsidRPr="00491832">
        <w:rPr>
          <w:rFonts w:ascii="Times New Roman" w:hAnsi="Times New Roman" w:cs="Times New Roman"/>
          <w:sz w:val="24"/>
          <w:szCs w:val="24"/>
        </w:rPr>
        <w:t xml:space="preserve"> </w:t>
      </w:r>
      <w:r w:rsidR="00910C15">
        <w:rPr>
          <w:rFonts w:ascii="Times New Roman" w:hAnsi="Times New Roman" w:cs="Times New Roman"/>
          <w:sz w:val="24"/>
          <w:szCs w:val="24"/>
        </w:rPr>
        <w:t xml:space="preserve">będącej liderem na rynku, co nie miało miejsca w przypadku </w:t>
      </w:r>
      <w:r w:rsidRPr="00491832">
        <w:rPr>
          <w:rFonts w:ascii="Times New Roman" w:hAnsi="Times New Roman" w:cs="Times New Roman"/>
          <w:sz w:val="24"/>
          <w:szCs w:val="24"/>
        </w:rPr>
        <w:t xml:space="preserve">najmniejszych </w:t>
      </w:r>
      <w:r w:rsidR="00910C15">
        <w:rPr>
          <w:rFonts w:ascii="Times New Roman" w:hAnsi="Times New Roman" w:cs="Times New Roman"/>
          <w:sz w:val="24"/>
          <w:szCs w:val="24"/>
        </w:rPr>
        <w:t>firm audytorskich</w:t>
      </w:r>
      <w:r>
        <w:rPr>
          <w:rFonts w:ascii="Helvetica" w:hAnsi="Helvetica"/>
          <w:color w:val="000000"/>
          <w:shd w:val="clear" w:color="auto" w:fill="FFFFFF"/>
        </w:rPr>
        <w:t>.</w:t>
      </w:r>
      <w:r w:rsidR="00632B7C">
        <w:rPr>
          <w:rFonts w:ascii="Helvetica" w:hAnsi="Helvetica"/>
          <w:color w:val="000000"/>
          <w:shd w:val="clear" w:color="auto" w:fill="FFFFFF"/>
        </w:rPr>
        <w:t xml:space="preserve"> </w:t>
      </w:r>
    </w:p>
    <w:p w14:paraId="19E1A83C" w14:textId="77777777" w:rsidR="00BF7D73" w:rsidRDefault="00A67470" w:rsidP="00B84500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Celem </w:t>
      </w:r>
      <w:r w:rsidR="00B84500">
        <w:rPr>
          <w:color w:val="000000"/>
        </w:rPr>
        <w:t>ujednolicenia</w:t>
      </w:r>
      <w:r w:rsidRPr="00A67470">
        <w:rPr>
          <w:color w:val="000000"/>
        </w:rPr>
        <w:t xml:space="preserve"> podejścia do badania ustawowego</w:t>
      </w:r>
      <w:r>
        <w:rPr>
          <w:color w:val="000000"/>
        </w:rPr>
        <w:t xml:space="preserve"> </w:t>
      </w:r>
      <w:r w:rsidRPr="00A67470">
        <w:rPr>
          <w:color w:val="000000"/>
        </w:rPr>
        <w:t>w oparciu o Międzynarodowe Standardy</w:t>
      </w:r>
      <w:r>
        <w:rPr>
          <w:color w:val="000000"/>
        </w:rPr>
        <w:t xml:space="preserve"> Badania było zapewnienie </w:t>
      </w:r>
      <w:r w:rsidRPr="00A67470">
        <w:rPr>
          <w:color w:val="000000"/>
        </w:rPr>
        <w:t>wysok</w:t>
      </w:r>
      <w:r>
        <w:rPr>
          <w:color w:val="000000"/>
        </w:rPr>
        <w:t>iej</w:t>
      </w:r>
      <w:r w:rsidRPr="00A67470">
        <w:rPr>
          <w:color w:val="000000"/>
        </w:rPr>
        <w:t xml:space="preserve"> jakość wszystkich badań ustawowych wymaganych przez prawo.</w:t>
      </w:r>
      <w:r w:rsidR="00B84500">
        <w:rPr>
          <w:color w:val="000000"/>
        </w:rPr>
        <w:t xml:space="preserve"> Ubocznym efektem wprowadzonych zmian oka</w:t>
      </w:r>
      <w:r w:rsidR="00C7220A">
        <w:rPr>
          <w:color w:val="000000"/>
        </w:rPr>
        <w:t>z</w:t>
      </w:r>
      <w:r w:rsidR="00B84500">
        <w:rPr>
          <w:color w:val="000000"/>
        </w:rPr>
        <w:t xml:space="preserve">ała się koncentracja na rynku audytu w Polsce. </w:t>
      </w:r>
      <w:r w:rsidR="00FC03C2" w:rsidRPr="00FC03C2">
        <w:rPr>
          <w:color w:val="000000"/>
        </w:rPr>
        <w:t>J. Grad (2018, s.12) twierdzi</w:t>
      </w:r>
      <w:r w:rsidR="00B6436A">
        <w:rPr>
          <w:color w:val="000000"/>
        </w:rPr>
        <w:t xml:space="preserve"> i z takim poglądem należy się zgodzić</w:t>
      </w:r>
      <w:r w:rsidR="00FC03C2" w:rsidRPr="00FC03C2">
        <w:rPr>
          <w:color w:val="000000"/>
        </w:rPr>
        <w:t xml:space="preserve">, że </w:t>
      </w:r>
      <w:r w:rsidR="00FC03C2">
        <w:rPr>
          <w:color w:val="000000"/>
        </w:rPr>
        <w:t>w</w:t>
      </w:r>
      <w:r w:rsidR="00FC03C2" w:rsidRPr="00FC03C2">
        <w:rPr>
          <w:color w:val="000000"/>
        </w:rPr>
        <w:t>ysoka koncentracja na rynku audytorskim związana jest z wysokimi</w:t>
      </w:r>
      <w:r w:rsidR="00FC03C2">
        <w:rPr>
          <w:color w:val="000000"/>
        </w:rPr>
        <w:t xml:space="preserve"> </w:t>
      </w:r>
      <w:r w:rsidR="00FC03C2" w:rsidRPr="00FC03C2">
        <w:rPr>
          <w:color w:val="000000"/>
        </w:rPr>
        <w:t>barierami wejścia nowych podmiotów na ten rynek</w:t>
      </w:r>
      <w:r w:rsidR="00C7220A">
        <w:rPr>
          <w:color w:val="000000"/>
        </w:rPr>
        <w:t xml:space="preserve">, do których </w:t>
      </w:r>
      <w:r w:rsidR="00FC03C2">
        <w:rPr>
          <w:color w:val="000000"/>
        </w:rPr>
        <w:t>można zaliczyć między innymi</w:t>
      </w:r>
      <w:r w:rsidR="00B84500">
        <w:rPr>
          <w:color w:val="000000"/>
        </w:rPr>
        <w:t>:</w:t>
      </w:r>
      <w:r w:rsidR="00FC03C2">
        <w:rPr>
          <w:color w:val="000000"/>
        </w:rPr>
        <w:t xml:space="preserve"> </w:t>
      </w:r>
    </w:p>
    <w:p w14:paraId="00FFC3FE" w14:textId="77777777" w:rsidR="00BF7D73" w:rsidRDefault="00FC03C2" w:rsidP="00B6436A">
      <w:pPr>
        <w:pStyle w:val="CM4"/>
        <w:numPr>
          <w:ilvl w:val="0"/>
          <w:numId w:val="28"/>
        </w:numPr>
        <w:spacing w:before="60" w:after="60" w:line="360" w:lineRule="auto"/>
        <w:jc w:val="both"/>
        <w:rPr>
          <w:color w:val="000000"/>
        </w:rPr>
      </w:pPr>
      <w:r>
        <w:rPr>
          <w:color w:val="000000"/>
        </w:rPr>
        <w:t xml:space="preserve">brak możliwości finansowych i technicznych przeprowadzania zlecenia w określonym czasie i miejscach prowadzenia działalności klienta, </w:t>
      </w:r>
    </w:p>
    <w:p w14:paraId="6F0E919B" w14:textId="77777777" w:rsidR="00BF7D73" w:rsidRDefault="00FC03C2" w:rsidP="00B6436A">
      <w:pPr>
        <w:pStyle w:val="CM4"/>
        <w:numPr>
          <w:ilvl w:val="0"/>
          <w:numId w:val="28"/>
        </w:numPr>
        <w:spacing w:before="60" w:after="60" w:line="360" w:lineRule="auto"/>
        <w:jc w:val="both"/>
        <w:rPr>
          <w:color w:val="000000"/>
        </w:rPr>
      </w:pPr>
      <w:r>
        <w:rPr>
          <w:color w:val="000000"/>
        </w:rPr>
        <w:lastRenderedPageBreak/>
        <w:t>brak</w:t>
      </w:r>
      <w:r w:rsidR="00BF7D73">
        <w:rPr>
          <w:color w:val="000000"/>
        </w:rPr>
        <w:t xml:space="preserve"> </w:t>
      </w:r>
      <w:r>
        <w:rPr>
          <w:color w:val="000000"/>
        </w:rPr>
        <w:t>specjalistycznej wiedzy dotyczącej działalności gospodarczej prowadzonej przez potencjalnego klienta</w:t>
      </w:r>
      <w:r w:rsidR="00BF7D73">
        <w:rPr>
          <w:color w:val="000000"/>
        </w:rPr>
        <w:t>,</w:t>
      </w:r>
    </w:p>
    <w:p w14:paraId="1CF4D934" w14:textId="77777777" w:rsidR="00BF7D73" w:rsidRDefault="00BF7D73" w:rsidP="00B6436A">
      <w:pPr>
        <w:pStyle w:val="CM4"/>
        <w:numPr>
          <w:ilvl w:val="0"/>
          <w:numId w:val="28"/>
        </w:numPr>
        <w:spacing w:before="60" w:after="60" w:line="360" w:lineRule="auto"/>
        <w:jc w:val="both"/>
        <w:rPr>
          <w:color w:val="000000"/>
        </w:rPr>
      </w:pPr>
      <w:r>
        <w:rPr>
          <w:color w:val="000000"/>
        </w:rPr>
        <w:t>brak</w:t>
      </w:r>
      <w:r w:rsidR="00FC03C2">
        <w:rPr>
          <w:color w:val="000000"/>
        </w:rPr>
        <w:t xml:space="preserve"> wypracowanej marki na rynku.</w:t>
      </w:r>
    </w:p>
    <w:p w14:paraId="783D6280" w14:textId="77777777" w:rsidR="00B6436A" w:rsidRPr="00B6436A" w:rsidRDefault="00B6436A" w:rsidP="00B6436A">
      <w:pPr>
        <w:pStyle w:val="CM4"/>
        <w:spacing w:before="60" w:after="60" w:line="360" w:lineRule="auto"/>
        <w:jc w:val="both"/>
        <w:rPr>
          <w:color w:val="000000"/>
        </w:rPr>
      </w:pPr>
      <w:r w:rsidRPr="00B6436A">
        <w:rPr>
          <w:color w:val="000000"/>
        </w:rPr>
        <w:t xml:space="preserve">Taką </w:t>
      </w:r>
      <w:r>
        <w:rPr>
          <w:color w:val="000000"/>
        </w:rPr>
        <w:t>sytuacje można zaobserwować również na Polskim rynku audytu, gdzie bariery te spowodowały istotny spadek firm audytorskich oraz biegłych rewidentów czynnie wykonujących zawód, co zostało zaprezentowane na wykresie 1 i 2.</w:t>
      </w:r>
    </w:p>
    <w:p w14:paraId="65F8B4B2" w14:textId="77777777" w:rsidR="00656E15" w:rsidRDefault="00FC03C2" w:rsidP="00656E15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Należy zwrócić uwagę na fakt, że zdaniem </w:t>
      </w:r>
      <w:r w:rsidR="00B317B5">
        <w:rPr>
          <w:color w:val="000000"/>
        </w:rPr>
        <w:t xml:space="preserve">J.D. </w:t>
      </w:r>
      <w:proofErr w:type="spellStart"/>
      <w:r w:rsidR="00B317B5">
        <w:rPr>
          <w:color w:val="000000"/>
        </w:rPr>
        <w:t>Eshleman</w:t>
      </w:r>
      <w:proofErr w:type="spellEnd"/>
      <w:r w:rsidR="00B317B5">
        <w:rPr>
          <w:color w:val="000000"/>
        </w:rPr>
        <w:t xml:space="preserve"> i in. (2017, s. 81) </w:t>
      </w:r>
      <w:r w:rsidR="00886234" w:rsidRPr="00886234">
        <w:rPr>
          <w:color w:val="000000"/>
        </w:rPr>
        <w:t>koncentracja na rynku us</w:t>
      </w:r>
      <w:r w:rsidR="00886234" w:rsidRPr="00886234">
        <w:rPr>
          <w:rFonts w:hint="eastAsia"/>
          <w:color w:val="000000"/>
        </w:rPr>
        <w:t>ł</w:t>
      </w:r>
      <w:r w:rsidR="00886234" w:rsidRPr="00886234">
        <w:rPr>
          <w:color w:val="000000"/>
        </w:rPr>
        <w:t>ug audytorskich mo</w:t>
      </w:r>
      <w:r w:rsidR="00886234" w:rsidRPr="00886234">
        <w:rPr>
          <w:rFonts w:hint="eastAsia"/>
          <w:color w:val="000000"/>
        </w:rPr>
        <w:t>ż</w:t>
      </w:r>
      <w:r w:rsidR="00886234" w:rsidRPr="00886234">
        <w:rPr>
          <w:color w:val="000000"/>
        </w:rPr>
        <w:t>e by</w:t>
      </w:r>
      <w:r w:rsidR="00886234" w:rsidRPr="00886234">
        <w:rPr>
          <w:rFonts w:hint="eastAsia"/>
          <w:color w:val="000000"/>
        </w:rPr>
        <w:t>ć</w:t>
      </w:r>
      <w:r w:rsidR="00886234" w:rsidRPr="00886234">
        <w:rPr>
          <w:color w:val="000000"/>
        </w:rPr>
        <w:t xml:space="preserve"> zwi</w:t>
      </w:r>
      <w:r w:rsidR="00886234" w:rsidRPr="00886234">
        <w:rPr>
          <w:rFonts w:hint="eastAsia"/>
          <w:color w:val="000000"/>
        </w:rPr>
        <w:t>ą</w:t>
      </w:r>
      <w:r w:rsidR="00886234" w:rsidRPr="00886234">
        <w:rPr>
          <w:color w:val="000000"/>
        </w:rPr>
        <w:t>zana z ekonomi</w:t>
      </w:r>
      <w:r w:rsidR="00886234" w:rsidRPr="00886234">
        <w:rPr>
          <w:rFonts w:hint="eastAsia"/>
          <w:color w:val="000000"/>
        </w:rPr>
        <w:t>ą</w:t>
      </w:r>
      <w:r w:rsidR="00886234" w:rsidRPr="00886234">
        <w:rPr>
          <w:color w:val="000000"/>
        </w:rPr>
        <w:t xml:space="preserve"> skali oraz</w:t>
      </w:r>
      <w:r w:rsidR="00886234">
        <w:rPr>
          <w:color w:val="000000"/>
        </w:rPr>
        <w:t xml:space="preserve"> </w:t>
      </w:r>
      <w:r w:rsidR="00886234" w:rsidRPr="00886234">
        <w:rPr>
          <w:color w:val="000000"/>
        </w:rPr>
        <w:t>intensywn</w:t>
      </w:r>
      <w:r w:rsidR="00886234" w:rsidRPr="00886234">
        <w:rPr>
          <w:rFonts w:hint="eastAsia"/>
          <w:color w:val="000000"/>
        </w:rPr>
        <w:t>ą</w:t>
      </w:r>
      <w:r w:rsidR="00886234" w:rsidRPr="00886234">
        <w:rPr>
          <w:color w:val="000000"/>
        </w:rPr>
        <w:t xml:space="preserve"> konkurencj</w:t>
      </w:r>
      <w:r w:rsidR="00886234" w:rsidRPr="00886234">
        <w:rPr>
          <w:rFonts w:hint="eastAsia"/>
          <w:color w:val="000000"/>
        </w:rPr>
        <w:t>ą</w:t>
      </w:r>
      <w:r w:rsidR="00886234" w:rsidRPr="00886234">
        <w:rPr>
          <w:color w:val="000000"/>
        </w:rPr>
        <w:t xml:space="preserve"> w</w:t>
      </w:r>
      <w:r w:rsidR="00886234" w:rsidRPr="00886234">
        <w:rPr>
          <w:rFonts w:hint="eastAsia"/>
          <w:color w:val="000000"/>
        </w:rPr>
        <w:t>ś</w:t>
      </w:r>
      <w:r w:rsidR="00886234" w:rsidRPr="00886234">
        <w:rPr>
          <w:color w:val="000000"/>
        </w:rPr>
        <w:t>r</w:t>
      </w:r>
      <w:r w:rsidR="00886234" w:rsidRPr="00886234">
        <w:rPr>
          <w:rFonts w:hint="eastAsia"/>
          <w:color w:val="000000"/>
        </w:rPr>
        <w:t>ó</w:t>
      </w:r>
      <w:r w:rsidR="00886234" w:rsidRPr="00886234">
        <w:rPr>
          <w:color w:val="000000"/>
        </w:rPr>
        <w:t>d pozosta</w:t>
      </w:r>
      <w:r w:rsidR="00886234" w:rsidRPr="00886234">
        <w:rPr>
          <w:rFonts w:hint="eastAsia"/>
          <w:color w:val="000000"/>
        </w:rPr>
        <w:t>ł</w:t>
      </w:r>
      <w:r w:rsidR="00886234" w:rsidRPr="00886234">
        <w:rPr>
          <w:color w:val="000000"/>
        </w:rPr>
        <w:t>ych dostawc</w:t>
      </w:r>
      <w:r w:rsidR="00886234" w:rsidRPr="00886234">
        <w:rPr>
          <w:rFonts w:hint="eastAsia"/>
          <w:color w:val="000000"/>
        </w:rPr>
        <w:t>ó</w:t>
      </w:r>
      <w:r w:rsidR="00886234" w:rsidRPr="00886234">
        <w:rPr>
          <w:color w:val="000000"/>
        </w:rPr>
        <w:t>w us</w:t>
      </w:r>
      <w:r w:rsidR="00886234" w:rsidRPr="00886234">
        <w:rPr>
          <w:rFonts w:hint="eastAsia"/>
          <w:color w:val="000000"/>
        </w:rPr>
        <w:t>ł</w:t>
      </w:r>
      <w:r w:rsidR="00886234" w:rsidRPr="00886234">
        <w:rPr>
          <w:color w:val="000000"/>
        </w:rPr>
        <w:t>ug audytorskich, kt</w:t>
      </w:r>
      <w:r w:rsidR="00886234" w:rsidRPr="00886234">
        <w:rPr>
          <w:rFonts w:hint="eastAsia"/>
          <w:color w:val="000000"/>
        </w:rPr>
        <w:t>ó</w:t>
      </w:r>
      <w:r w:rsidR="00886234" w:rsidRPr="00886234">
        <w:rPr>
          <w:color w:val="000000"/>
        </w:rPr>
        <w:t xml:space="preserve">ra </w:t>
      </w:r>
      <w:r w:rsidR="00B6436A">
        <w:rPr>
          <w:color w:val="000000"/>
        </w:rPr>
        <w:t xml:space="preserve">powinna </w:t>
      </w:r>
      <w:r w:rsidR="00886234" w:rsidRPr="00886234">
        <w:rPr>
          <w:color w:val="000000"/>
        </w:rPr>
        <w:t>skutk</w:t>
      </w:r>
      <w:r w:rsidR="00B6436A">
        <w:rPr>
          <w:color w:val="000000"/>
        </w:rPr>
        <w:t>ować</w:t>
      </w:r>
      <w:r w:rsidR="00886234">
        <w:rPr>
          <w:color w:val="000000"/>
        </w:rPr>
        <w:t xml:space="preserve"> </w:t>
      </w:r>
      <w:r w:rsidR="00886234" w:rsidRPr="00886234">
        <w:rPr>
          <w:color w:val="000000"/>
        </w:rPr>
        <w:t>obni</w:t>
      </w:r>
      <w:r w:rsidR="00886234" w:rsidRPr="00886234">
        <w:rPr>
          <w:rFonts w:hint="eastAsia"/>
          <w:color w:val="000000"/>
        </w:rPr>
        <w:t>ż</w:t>
      </w:r>
      <w:r w:rsidR="00886234" w:rsidRPr="00886234">
        <w:rPr>
          <w:color w:val="000000"/>
        </w:rPr>
        <w:t>eniem op</w:t>
      </w:r>
      <w:r w:rsidR="00886234" w:rsidRPr="00886234">
        <w:rPr>
          <w:rFonts w:hint="eastAsia"/>
          <w:color w:val="000000"/>
        </w:rPr>
        <w:t>ł</w:t>
      </w:r>
      <w:r w:rsidR="00886234" w:rsidRPr="00886234">
        <w:rPr>
          <w:color w:val="000000"/>
        </w:rPr>
        <w:t xml:space="preserve">at </w:t>
      </w:r>
      <w:r w:rsidR="00B6436A">
        <w:rPr>
          <w:color w:val="000000"/>
        </w:rPr>
        <w:t>badania sprawozdań finansowych</w:t>
      </w:r>
      <w:r w:rsidR="00B317B5">
        <w:rPr>
          <w:color w:val="000000"/>
        </w:rPr>
        <w:t>.</w:t>
      </w:r>
      <w:r w:rsidR="00632B7C">
        <w:rPr>
          <w:color w:val="000000"/>
        </w:rPr>
        <w:t xml:space="preserve"> </w:t>
      </w:r>
      <w:r w:rsidR="00886234">
        <w:rPr>
          <w:color w:val="000000"/>
        </w:rPr>
        <w:t xml:space="preserve">Jednak na polskim rynku firm audytorskich polskim sytuacja ta nie miała miejsca. </w:t>
      </w:r>
      <w:r w:rsidR="00632B7C">
        <w:rPr>
          <w:color w:val="000000"/>
        </w:rPr>
        <w:t xml:space="preserve">Na podstawie danych opublikowanych przez KNA (2019, s. 12) w okresie od 2010 r. do 2015 r. </w:t>
      </w:r>
      <w:r w:rsidR="00632B7C" w:rsidRPr="00632B7C">
        <w:rPr>
          <w:color w:val="000000"/>
        </w:rPr>
        <w:t>zmniejszyła się łączna kwota przychodów osiąganych przez firmy audytorskie z tytułu rewizji finansowej</w:t>
      </w:r>
      <w:r w:rsidR="00632B7C">
        <w:rPr>
          <w:color w:val="000000"/>
        </w:rPr>
        <w:t xml:space="preserve">, co było między innymi spowodowane </w:t>
      </w:r>
      <w:r w:rsidR="00632B7C" w:rsidRPr="00632B7C">
        <w:rPr>
          <w:color w:val="000000"/>
        </w:rPr>
        <w:t xml:space="preserve">spowolnieniem gospodarczym w Polsce </w:t>
      </w:r>
      <w:r w:rsidR="00632B7C">
        <w:rPr>
          <w:color w:val="000000"/>
        </w:rPr>
        <w:t xml:space="preserve">będącym pochodną </w:t>
      </w:r>
      <w:r w:rsidR="00632B7C" w:rsidRPr="00632B7C">
        <w:rPr>
          <w:color w:val="000000"/>
        </w:rPr>
        <w:t>kryzysu</w:t>
      </w:r>
      <w:r w:rsidR="00632B7C">
        <w:rPr>
          <w:color w:val="000000"/>
        </w:rPr>
        <w:t xml:space="preserve"> mającego swoje początki w 2008 r</w:t>
      </w:r>
      <w:r w:rsidR="00886234">
        <w:rPr>
          <w:color w:val="000000"/>
        </w:rPr>
        <w:t>.</w:t>
      </w:r>
      <w:r w:rsidR="00632B7C">
        <w:rPr>
          <w:color w:val="000000"/>
        </w:rPr>
        <w:t xml:space="preserve"> </w:t>
      </w:r>
      <w:r w:rsidR="00632B7C" w:rsidRPr="00632B7C">
        <w:rPr>
          <w:color w:val="000000"/>
        </w:rPr>
        <w:t xml:space="preserve"> </w:t>
      </w:r>
      <w:r w:rsidR="00632B7C">
        <w:rPr>
          <w:color w:val="000000"/>
        </w:rPr>
        <w:t xml:space="preserve">w USA, ale już od </w:t>
      </w:r>
      <w:r w:rsidR="00632B7C" w:rsidRPr="00632B7C">
        <w:rPr>
          <w:color w:val="000000"/>
        </w:rPr>
        <w:t>2015 r. następuje wzrost przychodów firm audytorskich z tytułu rewizji finansowej</w:t>
      </w:r>
      <w:r w:rsidR="00632B7C">
        <w:rPr>
          <w:color w:val="000000"/>
        </w:rPr>
        <w:t xml:space="preserve"> mimo spadku ich ilości na rynku</w:t>
      </w:r>
      <w:r w:rsidR="00632B7C">
        <w:rPr>
          <w:sz w:val="22"/>
          <w:szCs w:val="22"/>
        </w:rPr>
        <w:t xml:space="preserve">. </w:t>
      </w:r>
      <w:r w:rsidR="00632B7C" w:rsidRPr="00886234">
        <w:t xml:space="preserve">Również przychody firm audytorskich badających </w:t>
      </w:r>
      <w:r w:rsidR="00035B09" w:rsidRPr="00886234">
        <w:t>JZP</w:t>
      </w:r>
      <w:r w:rsidR="00632B7C" w:rsidRPr="00886234">
        <w:t xml:space="preserve"> </w:t>
      </w:r>
      <w:r w:rsidR="00886234">
        <w:t xml:space="preserve">o w okresie </w:t>
      </w:r>
      <w:r w:rsidR="00632B7C" w:rsidRPr="00886234">
        <w:t xml:space="preserve">2015 </w:t>
      </w:r>
      <w:r w:rsidR="00886234">
        <w:t>-</w:t>
      </w:r>
      <w:r w:rsidR="00632B7C" w:rsidRPr="00886234">
        <w:t xml:space="preserve"> 2018 uległy zwiększeniu z 506 mln zł do 531 mln zł</w:t>
      </w:r>
      <w:r w:rsidR="00632B7C" w:rsidRPr="00886234">
        <w:rPr>
          <w:color w:val="000000"/>
        </w:rPr>
        <w:t xml:space="preserve"> mimo zmniejszenia się ich ilości o 48%.</w:t>
      </w:r>
    </w:p>
    <w:p w14:paraId="1138F598" w14:textId="77777777" w:rsidR="00941100" w:rsidRPr="00941100" w:rsidRDefault="00941100" w:rsidP="00941100">
      <w:pPr>
        <w:pStyle w:val="Default"/>
      </w:pPr>
    </w:p>
    <w:p w14:paraId="51329565" w14:textId="77777777" w:rsidR="000D0FAD" w:rsidRPr="00B6436A" w:rsidRDefault="000D0FAD" w:rsidP="00B6436A">
      <w:pPr>
        <w:pStyle w:val="Akapitzlist"/>
        <w:numPr>
          <w:ilvl w:val="1"/>
          <w:numId w:val="23"/>
        </w:numPr>
        <w:spacing w:line="360" w:lineRule="auto"/>
        <w:rPr>
          <w:b/>
          <w:bCs/>
          <w:sz w:val="24"/>
          <w:szCs w:val="24"/>
        </w:rPr>
      </w:pPr>
      <w:r w:rsidRPr="00B6436A">
        <w:rPr>
          <w:b/>
          <w:bCs/>
          <w:sz w:val="24"/>
          <w:szCs w:val="24"/>
        </w:rPr>
        <w:t>Wpływ MSB na badanie uproszczonych sprawozdań finansowych</w:t>
      </w:r>
    </w:p>
    <w:p w14:paraId="1C9A20FB" w14:textId="77777777" w:rsidR="002447E6" w:rsidRPr="002447E6" w:rsidRDefault="002447E6" w:rsidP="007743AB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  <w:r w:rsidRPr="005515A6">
        <w:t>Obowiązuje wiele definicji małych i średnich jednostek. Definicje te różnią się między sobą i zależą od regulacjach prawnych</w:t>
      </w:r>
      <w:r w:rsidR="00ED54B4" w:rsidRPr="005515A6">
        <w:t>,</w:t>
      </w:r>
      <w:r w:rsidRPr="005515A6">
        <w:t xml:space="preserve"> których dotyczą. Inn</w:t>
      </w:r>
      <w:r w:rsidR="00016778" w:rsidRPr="005515A6">
        <w:t>ą</w:t>
      </w:r>
      <w:r w:rsidRPr="005515A6">
        <w:t xml:space="preserve"> definicj</w:t>
      </w:r>
      <w:r w:rsidR="00016778" w:rsidRPr="005515A6">
        <w:t>e</w:t>
      </w:r>
      <w:r w:rsidRPr="005515A6">
        <w:t xml:space="preserve"> małych i średnich jednostek </w:t>
      </w:r>
      <w:r w:rsidR="00016778" w:rsidRPr="005515A6">
        <w:t xml:space="preserve">znajdziemy </w:t>
      </w:r>
      <w:r w:rsidRPr="005515A6">
        <w:t>w ustaw</w:t>
      </w:r>
      <w:r w:rsidR="00016778" w:rsidRPr="005515A6">
        <w:t>ie</w:t>
      </w:r>
      <w:r w:rsidRPr="005515A6">
        <w:t xml:space="preserve"> </w:t>
      </w:r>
      <w:r w:rsidR="00B6436A">
        <w:t>prawo przedsiębiorców</w:t>
      </w:r>
      <w:r w:rsidRPr="005515A6">
        <w:t>, inn</w:t>
      </w:r>
      <w:r w:rsidR="00016778" w:rsidRPr="005515A6">
        <w:t>ą</w:t>
      </w:r>
      <w:r w:rsidRPr="005515A6">
        <w:t xml:space="preserve"> w ustawie o rachunkowości, a jeszcze inn</w:t>
      </w:r>
      <w:r w:rsidR="00016778" w:rsidRPr="005515A6">
        <w:t>ą</w:t>
      </w:r>
      <w:r w:rsidRPr="005515A6">
        <w:t xml:space="preserve"> w ustawach podatkowych. Najczęstszymi kryteriami podziału jest wielkość przychodów, zatrudnienie czy wielkość aktywów. Inne kryteria podziału jednostek są zaprezentowane w Międzynarodowych Standardach Badania. Zgodnie z KSB 2</w:t>
      </w:r>
      <w:r w:rsidR="00B6436A">
        <w:t>30</w:t>
      </w:r>
      <w:r w:rsidR="00F94ECF" w:rsidRPr="005515A6">
        <w:t xml:space="preserve"> </w:t>
      </w:r>
      <w:r w:rsidRPr="005515A6">
        <w:t>par. A66 , „mniejszą jednostką” jest jednostka posiadająca takie cechy jak:</w:t>
      </w:r>
    </w:p>
    <w:p w14:paraId="5FEFF621" w14:textId="77777777" w:rsidR="00F94ECF" w:rsidRDefault="00F94ECF" w:rsidP="00B6436A">
      <w:pPr>
        <w:pStyle w:val="CM4"/>
        <w:numPr>
          <w:ilvl w:val="0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 xml:space="preserve">skoncentrowanie praw własności i zarządzania w rękach małej grupy osób (często jednej osoby – będącej osobą fizyczną lub inną </w:t>
      </w:r>
      <w:r w:rsidR="00CA6178">
        <w:rPr>
          <w:color w:val="000000"/>
        </w:rPr>
        <w:t xml:space="preserve">osobą </w:t>
      </w:r>
      <w:r w:rsidRPr="00F94ECF">
        <w:rPr>
          <w:color w:val="000000"/>
        </w:rPr>
        <w:t>prowadzącą działalność gospodarczą</w:t>
      </w:r>
      <w:r w:rsidR="000B17F0">
        <w:rPr>
          <w:color w:val="000000"/>
        </w:rPr>
        <w:t xml:space="preserve"> </w:t>
      </w:r>
      <w:r w:rsidRPr="00F94ECF">
        <w:rPr>
          <w:color w:val="000000"/>
        </w:rPr>
        <w:t>pod warunkiem, że właściciel wykazuje odpowiednie cechy jakościowe</w:t>
      </w:r>
      <w:r w:rsidR="00CA6178">
        <w:rPr>
          <w:color w:val="000000"/>
        </w:rPr>
        <w:t>)</w:t>
      </w:r>
      <w:r w:rsidRPr="00F94ECF">
        <w:rPr>
          <w:color w:val="000000"/>
        </w:rPr>
        <w:t xml:space="preserve"> oraz </w:t>
      </w:r>
    </w:p>
    <w:p w14:paraId="13C22BA1" w14:textId="77777777" w:rsidR="00F94ECF" w:rsidRDefault="00F94ECF" w:rsidP="00B6436A">
      <w:pPr>
        <w:pStyle w:val="CM4"/>
        <w:numPr>
          <w:ilvl w:val="0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 xml:space="preserve"> jedną lub więcej poniższych cech: </w:t>
      </w:r>
    </w:p>
    <w:p w14:paraId="1B107896" w14:textId="77777777" w:rsidR="00F94ECF" w:rsidRDefault="00F94ECF" w:rsidP="00B6436A">
      <w:pPr>
        <w:pStyle w:val="CM4"/>
        <w:numPr>
          <w:ilvl w:val="1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 xml:space="preserve">proste lub niezłożone transakcje, </w:t>
      </w:r>
    </w:p>
    <w:p w14:paraId="61EED5B3" w14:textId="77777777" w:rsidR="00F94ECF" w:rsidRDefault="00F94ECF" w:rsidP="00B6436A">
      <w:pPr>
        <w:pStyle w:val="CM4"/>
        <w:numPr>
          <w:ilvl w:val="1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 xml:space="preserve">prosta ewidencja księgowa, </w:t>
      </w:r>
    </w:p>
    <w:p w14:paraId="2289319C" w14:textId="77777777" w:rsidR="00F94ECF" w:rsidRDefault="00F94ECF" w:rsidP="00B6436A">
      <w:pPr>
        <w:pStyle w:val="CM4"/>
        <w:numPr>
          <w:ilvl w:val="1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lastRenderedPageBreak/>
        <w:t>niewiele gałęzi działalności oraz niewiele produktów w ramach linii,</w:t>
      </w:r>
    </w:p>
    <w:p w14:paraId="0440F1A3" w14:textId="77777777" w:rsidR="00F94ECF" w:rsidRDefault="00F94ECF" w:rsidP="00B6436A">
      <w:pPr>
        <w:pStyle w:val="CM4"/>
        <w:numPr>
          <w:ilvl w:val="1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>nieliczne kontrole wewnętrzne,</w:t>
      </w:r>
    </w:p>
    <w:p w14:paraId="4A82A406" w14:textId="77777777" w:rsidR="00F94ECF" w:rsidRDefault="00F94ECF" w:rsidP="00B6436A">
      <w:pPr>
        <w:pStyle w:val="CM4"/>
        <w:numPr>
          <w:ilvl w:val="1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>nieliczne szczeble kierownictwa odpowiedzialnego za szeroki zakres kontroli lub</w:t>
      </w:r>
    </w:p>
    <w:p w14:paraId="10DB61A9" w14:textId="77777777" w:rsidR="00F94ECF" w:rsidRDefault="00F94ECF" w:rsidP="00B6436A">
      <w:pPr>
        <w:pStyle w:val="CM4"/>
        <w:numPr>
          <w:ilvl w:val="1"/>
          <w:numId w:val="30"/>
        </w:numPr>
        <w:spacing w:before="60" w:after="60" w:line="360" w:lineRule="auto"/>
        <w:jc w:val="both"/>
        <w:rPr>
          <w:color w:val="000000"/>
        </w:rPr>
      </w:pPr>
      <w:r w:rsidRPr="00F94ECF">
        <w:rPr>
          <w:color w:val="000000"/>
        </w:rPr>
        <w:t>nieliczny personel o rozległych obowiązkach</w:t>
      </w:r>
      <w:r w:rsidR="00F018BB" w:rsidRPr="00F94ECF">
        <w:rPr>
          <w:color w:val="000000"/>
        </w:rPr>
        <w:t xml:space="preserve"> </w:t>
      </w:r>
      <w:r>
        <w:rPr>
          <w:color w:val="000000"/>
        </w:rPr>
        <w:t>.</w:t>
      </w:r>
    </w:p>
    <w:p w14:paraId="4B3E3DF3" w14:textId="77777777" w:rsidR="00F018BB" w:rsidRDefault="00F94ECF" w:rsidP="00F94ECF">
      <w:pPr>
        <w:pStyle w:val="CM4"/>
        <w:spacing w:before="60" w:after="60" w:line="360" w:lineRule="auto"/>
        <w:jc w:val="both"/>
        <w:rPr>
          <w:color w:val="000000"/>
        </w:rPr>
      </w:pPr>
      <w:r>
        <w:rPr>
          <w:color w:val="000000"/>
        </w:rPr>
        <w:t>Należy pamiętać, że w</w:t>
      </w:r>
      <w:r w:rsidRPr="00F94ECF">
        <w:rPr>
          <w:color w:val="000000"/>
        </w:rPr>
        <w:t>ykaz cech jakościowych nie jest wyczerpujący i nie dotyczy wyłącznie mniejszych jednostek,  a mniejsze jednostki nie muszą też koniecznie wykazywać wszystkich tych cech</w:t>
      </w:r>
      <w:r w:rsidR="004743C3">
        <w:rPr>
          <w:color w:val="000000"/>
        </w:rPr>
        <w:t>,</w:t>
      </w:r>
      <w:r>
        <w:rPr>
          <w:color w:val="000000"/>
        </w:rPr>
        <w:t xml:space="preserve"> a r</w:t>
      </w:r>
      <w:r w:rsidRPr="00F94ECF">
        <w:rPr>
          <w:color w:val="000000"/>
        </w:rPr>
        <w:t>ozważania szczególne dotyczące mniejszych jednostek zawarte w MSB opracowano głównie z myślą o jednostkach nienotowanych na giełdzie</w:t>
      </w:r>
      <w:r>
        <w:rPr>
          <w:color w:val="000000"/>
        </w:rPr>
        <w:t>, ale należy mieć na uwadze, ze n</w:t>
      </w:r>
      <w:r w:rsidRPr="00F94ECF">
        <w:rPr>
          <w:color w:val="000000"/>
        </w:rPr>
        <w:t xml:space="preserve">iektóre z rozważań mogą być jednak pomocne podczas badania mniejszych jednostek notowanych na </w:t>
      </w:r>
      <w:r>
        <w:rPr>
          <w:color w:val="000000"/>
        </w:rPr>
        <w:t>regulowanych rynkach</w:t>
      </w:r>
      <w:r w:rsidR="00423DEF">
        <w:rPr>
          <w:rStyle w:val="Odwoanieprzypisudolnego"/>
          <w:color w:val="000000"/>
        </w:rPr>
        <w:footnoteReference w:id="5"/>
      </w:r>
      <w:r>
        <w:rPr>
          <w:color w:val="000000"/>
        </w:rPr>
        <w:t>.</w:t>
      </w:r>
    </w:p>
    <w:p w14:paraId="2DDB7DE7" w14:textId="77777777" w:rsidR="00C367CD" w:rsidRPr="00C367CD" w:rsidRDefault="00F94ECF" w:rsidP="00C367CD">
      <w:pPr>
        <w:pStyle w:val="CM4"/>
        <w:spacing w:before="60" w:after="60" w:line="360" w:lineRule="auto"/>
        <w:jc w:val="both"/>
        <w:rPr>
          <w:color w:val="000000"/>
        </w:rPr>
      </w:pPr>
      <w:r w:rsidRPr="004025BE">
        <w:rPr>
          <w:color w:val="000000"/>
        </w:rPr>
        <w:tab/>
        <w:t xml:space="preserve">Biegły rewident badający sprawozdanie finansowe jednostki posiadającej w/w cechy może </w:t>
      </w:r>
      <w:r w:rsidR="004025BE" w:rsidRPr="004025BE">
        <w:rPr>
          <w:color w:val="000000"/>
        </w:rPr>
        <w:t>skorzystać z</w:t>
      </w:r>
      <w:r w:rsidR="00E01956">
        <w:rPr>
          <w:color w:val="000000"/>
        </w:rPr>
        <w:t>e</w:t>
      </w:r>
      <w:r w:rsidR="004025BE" w:rsidRPr="004025BE">
        <w:rPr>
          <w:color w:val="000000"/>
        </w:rPr>
        <w:t xml:space="preserve"> skalowalności MSB w badaniu małych i średnich jednostek</w:t>
      </w:r>
      <w:r w:rsidR="004025BE">
        <w:rPr>
          <w:color w:val="000000"/>
        </w:rPr>
        <w:t xml:space="preserve"> przy jednoczesnym wysokim poziomie jakości wykonywania </w:t>
      </w:r>
      <w:r w:rsidR="00E01956">
        <w:rPr>
          <w:color w:val="000000"/>
        </w:rPr>
        <w:t>zlecenia badania sprawozdania finansowego</w:t>
      </w:r>
      <w:r w:rsidR="004025BE">
        <w:rPr>
          <w:color w:val="000000"/>
        </w:rPr>
        <w:t xml:space="preserve">. </w:t>
      </w:r>
      <w:r w:rsidR="004025BE" w:rsidRPr="004025BE">
        <w:rPr>
          <w:color w:val="000000"/>
        </w:rPr>
        <w:t xml:space="preserve">W ramach </w:t>
      </w:r>
      <w:r w:rsidR="004025BE">
        <w:rPr>
          <w:color w:val="000000"/>
        </w:rPr>
        <w:t xml:space="preserve">skalowalności, czyli </w:t>
      </w:r>
      <w:r w:rsidR="004025BE" w:rsidRPr="004025BE">
        <w:rPr>
          <w:color w:val="000000"/>
        </w:rPr>
        <w:t xml:space="preserve">proporcjonalnego </w:t>
      </w:r>
      <w:r w:rsidR="00C367CD">
        <w:rPr>
          <w:color w:val="000000"/>
        </w:rPr>
        <w:t xml:space="preserve">podejścia </w:t>
      </w:r>
      <w:r w:rsidR="004025BE" w:rsidRPr="004025BE">
        <w:rPr>
          <w:color w:val="000000"/>
        </w:rPr>
        <w:t>do badania sprawozdań finansowych, charakter, zakres i dokumentacja badania są określane jako funkcja wielkości, złożoności i ryzyka związanego z</w:t>
      </w:r>
      <w:r w:rsidR="00C367CD">
        <w:rPr>
          <w:color w:val="000000"/>
        </w:rPr>
        <w:t xml:space="preserve"> działalnością </w:t>
      </w:r>
      <w:r w:rsidR="004025BE" w:rsidRPr="004025BE">
        <w:rPr>
          <w:color w:val="000000"/>
        </w:rPr>
        <w:t>jednostk</w:t>
      </w:r>
      <w:r w:rsidR="00C367CD">
        <w:rPr>
          <w:color w:val="000000"/>
        </w:rPr>
        <w:t>i, której sprawozdanie finansowe podlega badaniu</w:t>
      </w:r>
      <w:r w:rsidR="00C367CD" w:rsidRPr="004025BE">
        <w:rPr>
          <w:color w:val="000000"/>
        </w:rPr>
        <w:t>.</w:t>
      </w:r>
      <w:r w:rsidR="00C367CD">
        <w:rPr>
          <w:color w:val="000000"/>
        </w:rPr>
        <w:t xml:space="preserve"> Na uwagę zasługuje fakt, że </w:t>
      </w:r>
      <w:r w:rsidR="004025BE" w:rsidRPr="004025BE">
        <w:rPr>
          <w:color w:val="000000"/>
        </w:rPr>
        <w:t>jakość badania oraz rzetelność opinii biegłego rewidenta muszą być takie same dla wszystkich badanych sprawozdań finansowych</w:t>
      </w:r>
      <w:r w:rsidR="00C367CD">
        <w:rPr>
          <w:color w:val="000000"/>
        </w:rPr>
        <w:t xml:space="preserve">. </w:t>
      </w:r>
      <w:r w:rsidR="00C367CD" w:rsidRPr="00C367CD">
        <w:rPr>
          <w:color w:val="000000"/>
        </w:rPr>
        <w:t xml:space="preserve">Proporcjonalne </w:t>
      </w:r>
      <w:r w:rsidR="00C367CD">
        <w:rPr>
          <w:color w:val="000000"/>
        </w:rPr>
        <w:t xml:space="preserve">zastosowanie MSB w </w:t>
      </w:r>
      <w:r w:rsidR="00C367CD" w:rsidRPr="00C367CD">
        <w:rPr>
          <w:color w:val="000000"/>
        </w:rPr>
        <w:t>badani</w:t>
      </w:r>
      <w:r w:rsidR="00C367CD">
        <w:rPr>
          <w:color w:val="000000"/>
        </w:rPr>
        <w:t>u sprawozdania finansowego polega na</w:t>
      </w:r>
      <w:r w:rsidR="00C367CD" w:rsidRPr="00C367CD">
        <w:rPr>
          <w:color w:val="000000"/>
        </w:rPr>
        <w:t xml:space="preserve">: </w:t>
      </w:r>
    </w:p>
    <w:p w14:paraId="5879CC9A" w14:textId="77777777" w:rsidR="00C367CD" w:rsidRPr="00C367CD" w:rsidRDefault="00C367CD" w:rsidP="00423DEF">
      <w:pPr>
        <w:pStyle w:val="CM4"/>
        <w:numPr>
          <w:ilvl w:val="0"/>
          <w:numId w:val="31"/>
        </w:numPr>
        <w:spacing w:before="60" w:after="60" w:line="360" w:lineRule="auto"/>
        <w:jc w:val="both"/>
        <w:rPr>
          <w:color w:val="000000"/>
        </w:rPr>
      </w:pPr>
      <w:r>
        <w:rPr>
          <w:color w:val="000000"/>
        </w:rPr>
        <w:t>stwierdzeniu braku</w:t>
      </w:r>
      <w:r w:rsidRPr="00C367CD">
        <w:rPr>
          <w:color w:val="000000"/>
        </w:rPr>
        <w:t xml:space="preserve"> przesłanek do zastosowania </w:t>
      </w:r>
      <w:r>
        <w:rPr>
          <w:color w:val="000000"/>
        </w:rPr>
        <w:t>danego standardu w badaniu sprawozdania finansowego, j</w:t>
      </w:r>
      <w:r w:rsidRPr="00C367CD">
        <w:rPr>
          <w:color w:val="000000"/>
        </w:rPr>
        <w:t xml:space="preserve">eśli zagadnienia wymienione w standardzie nie występują w </w:t>
      </w:r>
      <w:r>
        <w:rPr>
          <w:color w:val="000000"/>
        </w:rPr>
        <w:t xml:space="preserve">badaniu sprawozdania finansowego </w:t>
      </w:r>
      <w:r w:rsidRPr="00C367CD">
        <w:rPr>
          <w:color w:val="000000"/>
        </w:rPr>
        <w:t>danej jednost</w:t>
      </w:r>
      <w:r>
        <w:rPr>
          <w:color w:val="000000"/>
        </w:rPr>
        <w:t>ki</w:t>
      </w:r>
      <w:r w:rsidRPr="00C367CD">
        <w:rPr>
          <w:color w:val="000000"/>
        </w:rPr>
        <w:t xml:space="preserve">, </w:t>
      </w:r>
      <w:r>
        <w:rPr>
          <w:color w:val="000000"/>
        </w:rPr>
        <w:t xml:space="preserve">to </w:t>
      </w:r>
      <w:r w:rsidRPr="00C367CD">
        <w:rPr>
          <w:color w:val="000000"/>
        </w:rPr>
        <w:t xml:space="preserve">dany </w:t>
      </w:r>
      <w:r>
        <w:rPr>
          <w:color w:val="000000"/>
        </w:rPr>
        <w:t>standard</w:t>
      </w:r>
      <w:r w:rsidRPr="00C367CD">
        <w:rPr>
          <w:color w:val="000000"/>
        </w:rPr>
        <w:t xml:space="preserve"> nie ma zastosowania w całości</w:t>
      </w:r>
      <w:r w:rsidR="00B94BF3">
        <w:rPr>
          <w:color w:val="000000"/>
        </w:rPr>
        <w:t xml:space="preserve"> (KSB 200, 2019, par. 22,)</w:t>
      </w:r>
      <w:r w:rsidR="00E57083">
        <w:rPr>
          <w:color w:val="000000"/>
        </w:rPr>
        <w:t>,</w:t>
      </w:r>
    </w:p>
    <w:p w14:paraId="53AB06F0" w14:textId="77777777" w:rsidR="00C367CD" w:rsidRPr="00586A4E" w:rsidRDefault="00C367CD" w:rsidP="00423DEF">
      <w:pPr>
        <w:pStyle w:val="CM4"/>
        <w:numPr>
          <w:ilvl w:val="0"/>
          <w:numId w:val="31"/>
        </w:numPr>
        <w:spacing w:before="60" w:after="60" w:line="360" w:lineRule="auto"/>
        <w:jc w:val="both"/>
        <w:rPr>
          <w:color w:val="000000"/>
        </w:rPr>
      </w:pPr>
      <w:r w:rsidRPr="00586A4E">
        <w:rPr>
          <w:color w:val="000000"/>
        </w:rPr>
        <w:t>stwierdzeniu braku przesłanek do zastosowania konkretnego szczegółowego wymogu standardu. Sytuacja taka może wystąpić, jeśli biegły rewident przestrzega każdego wymogu standardu, ale jeśli wymóg nie jest odpowiedni, ponieważ ma charakter warunkowy, a warunek nie zachodzi to daje to możliwoś</w:t>
      </w:r>
      <w:r w:rsidR="00E57083">
        <w:rPr>
          <w:color w:val="000000"/>
        </w:rPr>
        <w:t>ć</w:t>
      </w:r>
      <w:r w:rsidRPr="00586A4E">
        <w:rPr>
          <w:color w:val="000000"/>
        </w:rPr>
        <w:t xml:space="preserve"> odstąpienia od stosowania poszczególnych </w:t>
      </w:r>
      <w:r w:rsidRPr="00586A4E">
        <w:rPr>
          <w:color w:val="000000"/>
        </w:rPr>
        <w:lastRenderedPageBreak/>
        <w:t>zasad warunkowych. Przykładem są wymogi dotyczące treści opinii z zastrzeżeniem</w:t>
      </w:r>
      <w:r w:rsidR="00E57083">
        <w:rPr>
          <w:color w:val="000000"/>
        </w:rPr>
        <w:t xml:space="preserve">. Jeśli </w:t>
      </w:r>
      <w:r w:rsidR="00586A4E" w:rsidRPr="00586A4E">
        <w:rPr>
          <w:color w:val="000000"/>
        </w:rPr>
        <w:t>taka opinie nie będzie sporządzana</w:t>
      </w:r>
      <w:r w:rsidR="00E57083">
        <w:rPr>
          <w:color w:val="000000"/>
        </w:rPr>
        <w:t>,</w:t>
      </w:r>
      <w:r w:rsidR="00586A4E" w:rsidRPr="00586A4E">
        <w:rPr>
          <w:color w:val="000000"/>
        </w:rPr>
        <w:t xml:space="preserve"> to wymogi te nie są przez biegłego rewidenta stosowane. </w:t>
      </w:r>
      <w:r w:rsidR="00586A4E">
        <w:rPr>
          <w:color w:val="000000"/>
        </w:rPr>
        <w:t xml:space="preserve">Dodatkowe wytyczne na </w:t>
      </w:r>
      <w:r w:rsidR="00B94BF3">
        <w:rPr>
          <w:color w:val="000000"/>
        </w:rPr>
        <w:t>temat</w:t>
      </w:r>
      <w:r w:rsidR="00586A4E">
        <w:rPr>
          <w:color w:val="000000"/>
        </w:rPr>
        <w:t xml:space="preserve"> </w:t>
      </w:r>
      <w:r w:rsidR="00E57083">
        <w:rPr>
          <w:color w:val="000000"/>
        </w:rPr>
        <w:t>warunkowego odstąpienia od stosowania wymogów standardów</w:t>
      </w:r>
      <w:r w:rsidR="00586A4E">
        <w:rPr>
          <w:color w:val="000000"/>
        </w:rPr>
        <w:t xml:space="preserve"> można znaleźć w K</w:t>
      </w:r>
      <w:r w:rsidRPr="00586A4E">
        <w:rPr>
          <w:color w:val="000000"/>
        </w:rPr>
        <w:t xml:space="preserve">SB </w:t>
      </w:r>
      <w:r w:rsidR="00E57083">
        <w:rPr>
          <w:color w:val="000000"/>
        </w:rPr>
        <w:t xml:space="preserve">w </w:t>
      </w:r>
      <w:r w:rsidR="00586A4E">
        <w:rPr>
          <w:color w:val="000000"/>
        </w:rPr>
        <w:t>części</w:t>
      </w:r>
      <w:r w:rsidRPr="00586A4E">
        <w:rPr>
          <w:color w:val="000000"/>
        </w:rPr>
        <w:t xml:space="preserve"> „Zastosowania i inne materiały objaśniające”</w:t>
      </w:r>
      <w:r w:rsidR="00E57083">
        <w:rPr>
          <w:color w:val="000000"/>
        </w:rPr>
        <w:t>,</w:t>
      </w:r>
      <w:r w:rsidRPr="00586A4E">
        <w:rPr>
          <w:color w:val="000000"/>
        </w:rPr>
        <w:t xml:space="preserve"> </w:t>
      </w:r>
    </w:p>
    <w:p w14:paraId="6335FA9B" w14:textId="77777777" w:rsidR="00C367CD" w:rsidRPr="00C367CD" w:rsidRDefault="00C367CD" w:rsidP="00423DEF">
      <w:pPr>
        <w:pStyle w:val="CM4"/>
        <w:numPr>
          <w:ilvl w:val="0"/>
          <w:numId w:val="31"/>
        </w:numPr>
        <w:spacing w:before="60" w:after="60" w:line="360" w:lineRule="auto"/>
        <w:jc w:val="both"/>
        <w:rPr>
          <w:color w:val="000000"/>
        </w:rPr>
      </w:pPr>
      <w:r w:rsidRPr="00C367CD">
        <w:rPr>
          <w:color w:val="000000"/>
        </w:rPr>
        <w:t>zastosowani</w:t>
      </w:r>
      <w:r w:rsidR="006278BA">
        <w:rPr>
          <w:color w:val="000000"/>
        </w:rPr>
        <w:t>u</w:t>
      </w:r>
      <w:r w:rsidRPr="00C367CD">
        <w:rPr>
          <w:color w:val="000000"/>
        </w:rPr>
        <w:t xml:space="preserve"> ogólnych („skalowalnych”) wymogów standardu MSB, </w:t>
      </w:r>
      <w:r w:rsidR="00586A4E" w:rsidRPr="00586A4E">
        <w:rPr>
          <w:color w:val="000000"/>
        </w:rPr>
        <w:t>zawierają</w:t>
      </w:r>
      <w:r w:rsidR="00586A4E">
        <w:rPr>
          <w:color w:val="000000"/>
        </w:rPr>
        <w:t>cych</w:t>
      </w:r>
      <w:r w:rsidR="00586A4E" w:rsidRPr="00586A4E">
        <w:rPr>
          <w:color w:val="000000"/>
        </w:rPr>
        <w:t xml:space="preserve"> </w:t>
      </w:r>
      <w:r w:rsidR="00586A4E">
        <w:rPr>
          <w:color w:val="000000"/>
        </w:rPr>
        <w:t>wiele</w:t>
      </w:r>
      <w:r w:rsidR="00586A4E" w:rsidRPr="00586A4E">
        <w:rPr>
          <w:color w:val="000000"/>
        </w:rPr>
        <w:t xml:space="preserve"> stwierdzeń </w:t>
      </w:r>
      <w:r w:rsidR="00586A4E">
        <w:rPr>
          <w:color w:val="000000"/>
        </w:rPr>
        <w:t>dotyczących przeprowadzania</w:t>
      </w:r>
      <w:r w:rsidR="00586A4E" w:rsidRPr="00586A4E">
        <w:rPr>
          <w:color w:val="000000"/>
        </w:rPr>
        <w:t xml:space="preserve"> badania, w których w sposób ogólny uwzględniona jest kwestia proporcjonalności (skalowania) standardów badania</w:t>
      </w:r>
      <w:r w:rsidR="00586A4E">
        <w:rPr>
          <w:color w:val="000000"/>
        </w:rPr>
        <w:t>. Przykładem mo</w:t>
      </w:r>
      <w:r w:rsidR="006278BA">
        <w:rPr>
          <w:color w:val="000000"/>
        </w:rPr>
        <w:t>gą</w:t>
      </w:r>
      <w:r w:rsidR="00586A4E">
        <w:rPr>
          <w:color w:val="000000"/>
        </w:rPr>
        <w:t xml:space="preserve"> tu mogą być zapisy standardu KSB 230, uzależniające </w:t>
      </w:r>
      <w:r w:rsidR="00586A4E" w:rsidRPr="00586A4E">
        <w:rPr>
          <w:color w:val="000000"/>
        </w:rPr>
        <w:t>form</w:t>
      </w:r>
      <w:r w:rsidR="00586A4E">
        <w:rPr>
          <w:color w:val="000000"/>
        </w:rPr>
        <w:t>ę</w:t>
      </w:r>
      <w:r w:rsidR="00586A4E" w:rsidRPr="00586A4E">
        <w:rPr>
          <w:color w:val="000000"/>
        </w:rPr>
        <w:t xml:space="preserve">, zawartość i zakres dokumentacji badania </w:t>
      </w:r>
      <w:r w:rsidR="00586A4E">
        <w:rPr>
          <w:color w:val="000000"/>
        </w:rPr>
        <w:t>między innymi od</w:t>
      </w:r>
      <w:r w:rsidR="00586A4E" w:rsidRPr="00586A4E">
        <w:rPr>
          <w:color w:val="000000"/>
        </w:rPr>
        <w:t xml:space="preserve"> wielkość i złożoność</w:t>
      </w:r>
      <w:r w:rsidR="00586A4E">
        <w:rPr>
          <w:color w:val="000000"/>
        </w:rPr>
        <w:t xml:space="preserve"> badanej jednostki, czy </w:t>
      </w:r>
      <w:r w:rsidR="00B94BF3">
        <w:rPr>
          <w:color w:val="000000"/>
        </w:rPr>
        <w:t>KSB</w:t>
      </w:r>
      <w:r w:rsidR="00586A4E">
        <w:rPr>
          <w:color w:val="000000"/>
        </w:rPr>
        <w:t xml:space="preserve"> 300 mówiąc</w:t>
      </w:r>
      <w:r w:rsidR="006E7EE9">
        <w:rPr>
          <w:color w:val="000000"/>
        </w:rPr>
        <w:t>ego</w:t>
      </w:r>
      <w:r w:rsidR="00586A4E">
        <w:rPr>
          <w:color w:val="000000"/>
        </w:rPr>
        <w:t xml:space="preserve">, że </w:t>
      </w:r>
      <w:r w:rsidR="00586A4E" w:rsidRPr="00586A4E">
        <w:rPr>
          <w:color w:val="000000"/>
        </w:rPr>
        <w:t>forma, zawartość i zakres dokumentacji badania zależą od wielkość i złożoność jednostki</w:t>
      </w:r>
      <w:r w:rsidR="00586A4E">
        <w:rPr>
          <w:color w:val="000000"/>
        </w:rPr>
        <w:t>.</w:t>
      </w:r>
    </w:p>
    <w:p w14:paraId="28DBE8D9" w14:textId="77777777" w:rsidR="00F94ECF" w:rsidRDefault="00C367CD" w:rsidP="00423DEF">
      <w:pPr>
        <w:pStyle w:val="CM4"/>
        <w:numPr>
          <w:ilvl w:val="0"/>
          <w:numId w:val="31"/>
        </w:numPr>
        <w:spacing w:before="60" w:after="60" w:line="360" w:lineRule="auto"/>
        <w:jc w:val="both"/>
        <w:rPr>
          <w:color w:val="000000"/>
        </w:rPr>
      </w:pPr>
      <w:r w:rsidRPr="00C367CD">
        <w:rPr>
          <w:color w:val="000000"/>
        </w:rPr>
        <w:t>zastosowani</w:t>
      </w:r>
      <w:r w:rsidR="006E7EE9">
        <w:rPr>
          <w:color w:val="000000"/>
        </w:rPr>
        <w:t>u</w:t>
      </w:r>
      <w:r w:rsidRPr="00C367CD">
        <w:rPr>
          <w:color w:val="000000"/>
        </w:rPr>
        <w:t xml:space="preserve"> konkretnych wskazówek zawartych w poszczególnych sekcjach </w:t>
      </w:r>
      <w:r w:rsidR="002F0218">
        <w:rPr>
          <w:color w:val="000000"/>
        </w:rPr>
        <w:t xml:space="preserve">standardów </w:t>
      </w:r>
      <w:r w:rsidR="00586A4E">
        <w:rPr>
          <w:color w:val="000000"/>
        </w:rPr>
        <w:t>„</w:t>
      </w:r>
      <w:r w:rsidRPr="00C367CD">
        <w:rPr>
          <w:color w:val="000000"/>
        </w:rPr>
        <w:t>Zastosowania i inne materiały obj</w:t>
      </w:r>
      <w:r w:rsidR="00586A4E">
        <w:rPr>
          <w:color w:val="000000"/>
        </w:rPr>
        <w:t>a</w:t>
      </w:r>
      <w:r w:rsidRPr="00C367CD">
        <w:rPr>
          <w:color w:val="000000"/>
        </w:rPr>
        <w:t>śniają standardów MSB</w:t>
      </w:r>
      <w:r w:rsidR="00586A4E">
        <w:rPr>
          <w:color w:val="000000"/>
        </w:rPr>
        <w:t>” zawierając</w:t>
      </w:r>
      <w:r w:rsidR="002F0218">
        <w:rPr>
          <w:color w:val="000000"/>
        </w:rPr>
        <w:t>ych</w:t>
      </w:r>
      <w:r w:rsidR="00586A4E" w:rsidRPr="00586A4E">
        <w:rPr>
          <w:color w:val="000000"/>
        </w:rPr>
        <w:t xml:space="preserve"> wskazów</w:t>
      </w:r>
      <w:r w:rsidR="00586A4E">
        <w:rPr>
          <w:color w:val="000000"/>
        </w:rPr>
        <w:t>ki</w:t>
      </w:r>
      <w:r w:rsidR="00586A4E" w:rsidRPr="00586A4E">
        <w:rPr>
          <w:color w:val="000000"/>
        </w:rPr>
        <w:t xml:space="preserve"> i wytyczn</w:t>
      </w:r>
      <w:r w:rsidR="00586A4E">
        <w:rPr>
          <w:color w:val="000000"/>
        </w:rPr>
        <w:t>e</w:t>
      </w:r>
      <w:r w:rsidR="00586A4E" w:rsidRPr="00586A4E">
        <w:rPr>
          <w:color w:val="000000"/>
        </w:rPr>
        <w:t xml:space="preserve"> </w:t>
      </w:r>
      <w:r w:rsidR="00C44F34">
        <w:rPr>
          <w:color w:val="000000"/>
        </w:rPr>
        <w:t xml:space="preserve">mające zastosowanie w </w:t>
      </w:r>
      <w:r w:rsidR="00586A4E" w:rsidRPr="00586A4E">
        <w:rPr>
          <w:color w:val="000000"/>
        </w:rPr>
        <w:t xml:space="preserve"> badani</w:t>
      </w:r>
      <w:r w:rsidR="00C44F34">
        <w:rPr>
          <w:color w:val="000000"/>
        </w:rPr>
        <w:t>u</w:t>
      </w:r>
      <w:r w:rsidR="00586A4E" w:rsidRPr="00586A4E">
        <w:rPr>
          <w:color w:val="000000"/>
        </w:rPr>
        <w:t xml:space="preserve"> mniejszych jednostek</w:t>
      </w:r>
      <w:r w:rsidR="005D2015">
        <w:rPr>
          <w:color w:val="000000"/>
        </w:rPr>
        <w:t xml:space="preserve"> (</w:t>
      </w:r>
      <w:r w:rsidR="005D2015" w:rsidRPr="004025BE">
        <w:t>Rada dyrektorów Izby Biegłych Rewidentów (</w:t>
      </w:r>
      <w:proofErr w:type="spellStart"/>
      <w:r w:rsidR="005D2015" w:rsidRPr="004025BE">
        <w:t>Wirtschaftsprüferkammer</w:t>
      </w:r>
      <w:proofErr w:type="spellEnd"/>
      <w:r w:rsidR="005D2015" w:rsidRPr="004025BE">
        <w:t>)</w:t>
      </w:r>
      <w:r w:rsidR="005D2015">
        <w:t>, 2015)</w:t>
      </w:r>
      <w:r w:rsidR="00586A4E" w:rsidRPr="00586A4E">
        <w:rPr>
          <w:color w:val="000000"/>
        </w:rPr>
        <w:t>.</w:t>
      </w:r>
    </w:p>
    <w:p w14:paraId="17808CD3" w14:textId="77777777" w:rsidR="00EE5FE9" w:rsidRPr="00EE5FE9" w:rsidRDefault="00EE5FE9" w:rsidP="00EE5FE9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  <w:r>
        <w:rPr>
          <w:color w:val="000000"/>
        </w:rPr>
        <w:t>Obligatoryjne stosowanie</w:t>
      </w:r>
      <w:r w:rsidRPr="00EE5FE9">
        <w:rPr>
          <w:color w:val="000000"/>
        </w:rPr>
        <w:t xml:space="preserve"> nowych </w:t>
      </w:r>
      <w:r>
        <w:rPr>
          <w:color w:val="000000"/>
        </w:rPr>
        <w:t xml:space="preserve">standardów wykonywania zawodu i nowych wymogów ustawowych </w:t>
      </w:r>
      <w:r w:rsidRPr="00EE5FE9">
        <w:rPr>
          <w:color w:val="000000"/>
        </w:rPr>
        <w:t xml:space="preserve">nakłada na </w:t>
      </w:r>
      <w:r>
        <w:rPr>
          <w:color w:val="000000"/>
        </w:rPr>
        <w:t xml:space="preserve">firmy audytorskie </w:t>
      </w:r>
      <w:r w:rsidRPr="00EE5FE9">
        <w:rPr>
          <w:color w:val="000000"/>
        </w:rPr>
        <w:t xml:space="preserve">dodatkowe </w:t>
      </w:r>
      <w:r>
        <w:rPr>
          <w:color w:val="000000"/>
        </w:rPr>
        <w:t>obowiązki i istotnie wpływa na proces</w:t>
      </w:r>
      <w:r w:rsidRPr="00EE5FE9">
        <w:rPr>
          <w:color w:val="000000"/>
        </w:rPr>
        <w:t xml:space="preserve"> </w:t>
      </w:r>
      <w:r>
        <w:rPr>
          <w:color w:val="000000"/>
        </w:rPr>
        <w:t>badania sprawozdania finansowego</w:t>
      </w:r>
      <w:r w:rsidR="002F0218">
        <w:rPr>
          <w:color w:val="000000"/>
        </w:rPr>
        <w:t>.</w:t>
      </w:r>
    </w:p>
    <w:p w14:paraId="39A732C6" w14:textId="77777777" w:rsidR="003D43D8" w:rsidRPr="003D43D8" w:rsidRDefault="0093287B" w:rsidP="003D43D8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Ostanie </w:t>
      </w:r>
      <w:r w:rsidR="003D43D8" w:rsidRPr="003D43D8">
        <w:rPr>
          <w:color w:val="000000"/>
        </w:rPr>
        <w:t>publikacj</w:t>
      </w:r>
      <w:r>
        <w:rPr>
          <w:color w:val="000000"/>
        </w:rPr>
        <w:t>e</w:t>
      </w:r>
      <w:r w:rsidR="003D43D8" w:rsidRPr="003D43D8">
        <w:rPr>
          <w:color w:val="000000"/>
        </w:rPr>
        <w:t xml:space="preserve"> z zakresu</w:t>
      </w:r>
      <w:r w:rsidR="003D43D8">
        <w:rPr>
          <w:color w:val="000000"/>
        </w:rPr>
        <w:t xml:space="preserve"> rynku firm audytorskich</w:t>
      </w:r>
      <w:r>
        <w:rPr>
          <w:color w:val="000000"/>
        </w:rPr>
        <w:t xml:space="preserve">, B. </w:t>
      </w:r>
      <w:proofErr w:type="spellStart"/>
      <w:r>
        <w:rPr>
          <w:color w:val="000000"/>
        </w:rPr>
        <w:t>Iwanowicz</w:t>
      </w:r>
      <w:proofErr w:type="spellEnd"/>
      <w:r>
        <w:rPr>
          <w:color w:val="000000"/>
        </w:rPr>
        <w:t xml:space="preserve"> (2019)</w:t>
      </w:r>
      <w:r w:rsidR="005D2015">
        <w:rPr>
          <w:color w:val="000000"/>
        </w:rPr>
        <w:t xml:space="preserve">, </w:t>
      </w:r>
      <w:r>
        <w:rPr>
          <w:color w:val="000000"/>
        </w:rPr>
        <w:t xml:space="preserve"> J. Ga</w:t>
      </w:r>
      <w:r w:rsidR="00941100">
        <w:rPr>
          <w:color w:val="000000"/>
        </w:rPr>
        <w:t>d</w:t>
      </w:r>
      <w:r>
        <w:rPr>
          <w:color w:val="000000"/>
        </w:rPr>
        <w:t xml:space="preserve"> (2018), KNA (2019), Komisja Europejska (2017)</w:t>
      </w:r>
      <w:r w:rsidR="003D43D8" w:rsidRPr="003D43D8">
        <w:rPr>
          <w:color w:val="000000"/>
        </w:rPr>
        <w:t xml:space="preserve"> zawiera analizę przepisów prawa i literatury, analizę informacji pochodzących z</w:t>
      </w:r>
      <w:r w:rsidR="003D43D8">
        <w:rPr>
          <w:color w:val="000000"/>
        </w:rPr>
        <w:t xml:space="preserve">e </w:t>
      </w:r>
      <w:r w:rsidR="003D43D8" w:rsidRPr="003D43D8">
        <w:rPr>
          <w:color w:val="000000"/>
        </w:rPr>
        <w:t>sprawozdań finansowych</w:t>
      </w:r>
      <w:r w:rsidR="003D43D8">
        <w:rPr>
          <w:color w:val="000000"/>
        </w:rPr>
        <w:t xml:space="preserve"> jednostek </w:t>
      </w:r>
      <w:r w:rsidR="00035B09">
        <w:rPr>
          <w:color w:val="000000"/>
        </w:rPr>
        <w:t>JZP</w:t>
      </w:r>
      <w:r w:rsidR="003D43D8">
        <w:rPr>
          <w:color w:val="000000"/>
        </w:rPr>
        <w:t>, w tym notowanych na giełdach rynkach papierów wartościowych</w:t>
      </w:r>
      <w:r w:rsidR="003D43D8" w:rsidRPr="003D43D8">
        <w:rPr>
          <w:color w:val="000000"/>
        </w:rPr>
        <w:t xml:space="preserve">. Jednak </w:t>
      </w:r>
      <w:r w:rsidR="003D43D8">
        <w:rPr>
          <w:color w:val="000000"/>
        </w:rPr>
        <w:t xml:space="preserve">rynek firm audytorskich nie składa się wyłącznie z firm audytorskich badających </w:t>
      </w:r>
      <w:r w:rsidR="00035B09">
        <w:rPr>
          <w:color w:val="000000"/>
        </w:rPr>
        <w:t>JZP</w:t>
      </w:r>
      <w:r w:rsidR="003D43D8">
        <w:rPr>
          <w:color w:val="000000"/>
        </w:rPr>
        <w:t xml:space="preserve"> ale również z firm nie badających </w:t>
      </w:r>
      <w:r w:rsidR="00035B09">
        <w:rPr>
          <w:color w:val="000000"/>
        </w:rPr>
        <w:t>JZP</w:t>
      </w:r>
      <w:r w:rsidR="003D43D8">
        <w:rPr>
          <w:color w:val="000000"/>
        </w:rPr>
        <w:t>.</w:t>
      </w:r>
    </w:p>
    <w:p w14:paraId="5E53B1A4" w14:textId="77777777" w:rsidR="00B95EB7" w:rsidRDefault="00E8474F" w:rsidP="003D43D8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  <w:r>
        <w:rPr>
          <w:color w:val="000000"/>
        </w:rPr>
        <w:t>W b</w:t>
      </w:r>
      <w:r w:rsidR="00734FC9">
        <w:rPr>
          <w:color w:val="000000"/>
        </w:rPr>
        <w:t>adani</w:t>
      </w:r>
      <w:r>
        <w:rPr>
          <w:color w:val="000000"/>
        </w:rPr>
        <w:t>u</w:t>
      </w:r>
      <w:r w:rsidR="00734FC9">
        <w:rPr>
          <w:color w:val="000000"/>
        </w:rPr>
        <w:t xml:space="preserve"> ankietow</w:t>
      </w:r>
      <w:r>
        <w:rPr>
          <w:color w:val="000000"/>
        </w:rPr>
        <w:t xml:space="preserve">ym dotyczącym wpływu stosowania MSB podczas badania sprawozdania finansowego uproszczonych sprawozdań finansowych </w:t>
      </w:r>
      <w:r w:rsidR="001430F5">
        <w:rPr>
          <w:color w:val="000000"/>
        </w:rPr>
        <w:t>wzięli</w:t>
      </w:r>
      <w:r w:rsidR="00734FC9">
        <w:rPr>
          <w:color w:val="000000"/>
        </w:rPr>
        <w:t xml:space="preserve"> udział </w:t>
      </w:r>
      <w:r w:rsidR="00B95EB7" w:rsidRPr="003D43D8">
        <w:rPr>
          <w:color w:val="000000"/>
        </w:rPr>
        <w:t xml:space="preserve">biegli rewidenci z całej Polski uczestniczący w szkoleniach Obligatoryjnego Doskonalenia Zawodowego </w:t>
      </w:r>
      <w:r>
        <w:rPr>
          <w:color w:val="000000"/>
        </w:rPr>
        <w:t>(O</w:t>
      </w:r>
      <w:r w:rsidR="00B95EB7" w:rsidRPr="003D43D8">
        <w:rPr>
          <w:color w:val="000000"/>
        </w:rPr>
        <w:t>DZ</w:t>
      </w:r>
      <w:r>
        <w:rPr>
          <w:color w:val="000000"/>
        </w:rPr>
        <w:t>)</w:t>
      </w:r>
      <w:r w:rsidR="00B95EB7" w:rsidRPr="003D43D8">
        <w:rPr>
          <w:color w:val="000000"/>
        </w:rPr>
        <w:t xml:space="preserve"> w terminie od 1 września 2018 r. do końca grudnia 2018 r. oraz </w:t>
      </w:r>
      <w:r>
        <w:rPr>
          <w:color w:val="000000"/>
        </w:rPr>
        <w:t>na</w:t>
      </w:r>
      <w:r w:rsidR="00B95EB7" w:rsidRPr="003D43D8">
        <w:rPr>
          <w:color w:val="000000"/>
        </w:rPr>
        <w:t xml:space="preserve"> konferencjach z zakresu rachunkowości i rewizji finansowej organizowanych w okresie od 1września do 31 grudnia 2018 r. Ankiety w formie papierowej rozdawane były uczestnikom szkoleń</w:t>
      </w:r>
      <w:r w:rsidR="003D43D8">
        <w:rPr>
          <w:color w:val="000000"/>
        </w:rPr>
        <w:t xml:space="preserve">. </w:t>
      </w:r>
    </w:p>
    <w:p w14:paraId="4BD2C701" w14:textId="77777777" w:rsidR="00734FC9" w:rsidRDefault="00734FC9" w:rsidP="00734FC9">
      <w:pPr>
        <w:pStyle w:val="CM4"/>
        <w:spacing w:before="60" w:after="60" w:line="360" w:lineRule="auto"/>
        <w:ind w:firstLine="708"/>
        <w:jc w:val="both"/>
        <w:rPr>
          <w:color w:val="000000"/>
          <w:szCs w:val="22"/>
        </w:rPr>
      </w:pPr>
      <w:r>
        <w:rPr>
          <w:color w:val="000000"/>
        </w:rPr>
        <w:lastRenderedPageBreak/>
        <w:t xml:space="preserve">Jak zostało zaprezentowane na wykresie </w:t>
      </w:r>
      <w:r w:rsidR="00713C5A">
        <w:rPr>
          <w:color w:val="000000"/>
        </w:rPr>
        <w:t>3</w:t>
      </w:r>
      <w:r>
        <w:rPr>
          <w:color w:val="000000"/>
        </w:rPr>
        <w:t>, n</w:t>
      </w:r>
      <w:r w:rsidRPr="00734FC9">
        <w:rPr>
          <w:color w:val="000000"/>
        </w:rPr>
        <w:t>a pytanie</w:t>
      </w:r>
      <w:r>
        <w:rPr>
          <w:color w:val="000000"/>
        </w:rPr>
        <w:t xml:space="preserve">, </w:t>
      </w:r>
      <w:r>
        <w:rPr>
          <w:color w:val="000000"/>
          <w:szCs w:val="22"/>
        </w:rPr>
        <w:t>c</w:t>
      </w:r>
      <w:r w:rsidRPr="00834071">
        <w:rPr>
          <w:color w:val="000000"/>
          <w:szCs w:val="22"/>
        </w:rPr>
        <w:t>zy stosowanie uproszczeń w sprawozdawczości finansowej przez jednostki, których sprawozdania finansowe były badane wpłynęło na zmniejszenie wykonywanych procedur badania dotyczących systemu rachunkowości</w:t>
      </w:r>
      <w:r>
        <w:rPr>
          <w:color w:val="000000"/>
          <w:szCs w:val="22"/>
        </w:rPr>
        <w:t xml:space="preserve"> ponad 48% ankietowanych udzielił</w:t>
      </w:r>
      <w:r w:rsidR="00956846">
        <w:rPr>
          <w:color w:val="000000"/>
          <w:szCs w:val="22"/>
        </w:rPr>
        <w:t>o</w:t>
      </w:r>
      <w:r>
        <w:rPr>
          <w:color w:val="000000"/>
          <w:szCs w:val="22"/>
        </w:rPr>
        <w:t xml:space="preserve"> odpowiedzi negatywnej. </w:t>
      </w:r>
      <w:r w:rsidR="001430F5">
        <w:rPr>
          <w:color w:val="000000"/>
          <w:szCs w:val="22"/>
        </w:rPr>
        <w:t>Tak wysoki procent</w:t>
      </w:r>
      <w:r>
        <w:rPr>
          <w:color w:val="000000"/>
          <w:szCs w:val="22"/>
        </w:rPr>
        <w:t xml:space="preserve"> </w:t>
      </w:r>
      <w:r w:rsidR="001430F5">
        <w:rPr>
          <w:color w:val="000000"/>
          <w:szCs w:val="22"/>
        </w:rPr>
        <w:t>odpowiedzi negatywnych może wskazywać na fakt</w:t>
      </w:r>
      <w:r w:rsidR="00956846">
        <w:rPr>
          <w:color w:val="000000"/>
          <w:szCs w:val="22"/>
        </w:rPr>
        <w:t>,</w:t>
      </w:r>
      <w:r w:rsidR="001430F5">
        <w:rPr>
          <w:color w:val="000000"/>
          <w:szCs w:val="22"/>
        </w:rPr>
        <w:t xml:space="preserve"> że stosowanie zasady proporcjonalności MSB w badaniach sprawozdań finansowych w </w:t>
      </w:r>
      <w:r w:rsidR="00956846">
        <w:rPr>
          <w:color w:val="000000"/>
          <w:szCs w:val="22"/>
        </w:rPr>
        <w:t>p</w:t>
      </w:r>
      <w:r w:rsidR="001430F5">
        <w:rPr>
          <w:color w:val="000000"/>
          <w:szCs w:val="22"/>
        </w:rPr>
        <w:t xml:space="preserve">olskich warunkach nie przekłada się </w:t>
      </w:r>
      <w:r w:rsidR="00956846">
        <w:rPr>
          <w:color w:val="000000"/>
          <w:szCs w:val="22"/>
        </w:rPr>
        <w:t xml:space="preserve">na </w:t>
      </w:r>
      <w:r w:rsidR="00214D5C">
        <w:rPr>
          <w:color w:val="000000"/>
          <w:szCs w:val="22"/>
        </w:rPr>
        <w:t>mniejszą ilość wykonywanych procedur badania ksiąg rachunkowych będących podstawą sporządzenia sprawozdania finansowego.</w:t>
      </w:r>
    </w:p>
    <w:p w14:paraId="702956D0" w14:textId="77777777" w:rsidR="005D2015" w:rsidRPr="005D2015" w:rsidRDefault="005D2015" w:rsidP="005D2015">
      <w:pPr>
        <w:pStyle w:val="Default"/>
      </w:pPr>
    </w:p>
    <w:p w14:paraId="7CF46783" w14:textId="77777777" w:rsidR="00214D5C" w:rsidRPr="00214D5C" w:rsidRDefault="00214D5C" w:rsidP="00214D5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14D5C">
        <w:rPr>
          <w:rFonts w:ascii="Times New Roman" w:hAnsi="Times New Roman" w:cs="Times New Roman"/>
          <w:b/>
          <w:bCs/>
          <w:sz w:val="20"/>
          <w:szCs w:val="20"/>
        </w:rPr>
        <w:t xml:space="preserve">Wykres </w:t>
      </w:r>
      <w:r w:rsidR="00713C5A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Wpływ </w:t>
      </w:r>
      <w:r w:rsidRPr="00214D5C">
        <w:rPr>
          <w:rFonts w:ascii="Times New Roman" w:hAnsi="Times New Roman" w:cs="Times New Roman"/>
          <w:sz w:val="20"/>
          <w:szCs w:val="20"/>
        </w:rPr>
        <w:t xml:space="preserve">stosowania uproszczeń w sprawozdawczości finansowej na zmniejszenie </w:t>
      </w:r>
      <w:r w:rsidR="00956846">
        <w:rPr>
          <w:rFonts w:ascii="Times New Roman" w:hAnsi="Times New Roman" w:cs="Times New Roman"/>
          <w:sz w:val="20"/>
          <w:szCs w:val="20"/>
        </w:rPr>
        <w:t xml:space="preserve">ilości </w:t>
      </w:r>
      <w:r w:rsidRPr="00214D5C">
        <w:rPr>
          <w:rFonts w:ascii="Times New Roman" w:hAnsi="Times New Roman" w:cs="Times New Roman"/>
          <w:sz w:val="20"/>
          <w:szCs w:val="20"/>
        </w:rPr>
        <w:t>wykonywanych procedur badania dotyczących systemu rachunkowości</w:t>
      </w:r>
    </w:p>
    <w:p w14:paraId="473419D4" w14:textId="77777777" w:rsidR="00214D5C" w:rsidRPr="00214D5C" w:rsidRDefault="00214D5C" w:rsidP="00214D5C">
      <w:pPr>
        <w:pStyle w:val="Default"/>
      </w:pPr>
      <w:r>
        <w:rPr>
          <w:noProof/>
          <w:lang w:val="en-US"/>
        </w:rPr>
        <w:drawing>
          <wp:inline distT="0" distB="0" distL="0" distR="0" wp14:anchorId="3E68439E" wp14:editId="40F6D28D">
            <wp:extent cx="5644713" cy="2550637"/>
            <wp:effectExtent l="133350" t="114300" r="146685" b="173990"/>
            <wp:docPr id="67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222" cy="25852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4CFC2FE" w14:textId="77777777" w:rsidR="00A54539" w:rsidRDefault="00214D5C" w:rsidP="003D43D8">
      <w:pPr>
        <w:pStyle w:val="CM4"/>
        <w:spacing w:before="60" w:after="60" w:line="360" w:lineRule="auto"/>
        <w:ind w:firstLine="708"/>
        <w:jc w:val="both"/>
        <w:rPr>
          <w:color w:val="000000"/>
          <w:sz w:val="20"/>
          <w:szCs w:val="20"/>
        </w:rPr>
      </w:pPr>
      <w:r w:rsidRPr="00214D5C">
        <w:rPr>
          <w:color w:val="000000"/>
          <w:sz w:val="20"/>
          <w:szCs w:val="20"/>
        </w:rPr>
        <w:t>Źródło: opracowanie własne</w:t>
      </w:r>
    </w:p>
    <w:p w14:paraId="2178501C" w14:textId="77777777" w:rsidR="00214D5C" w:rsidRPr="00214D5C" w:rsidRDefault="00214D5C" w:rsidP="00214D5C">
      <w:pPr>
        <w:pStyle w:val="CM4"/>
        <w:spacing w:before="60" w:after="60" w:line="360" w:lineRule="auto"/>
        <w:ind w:firstLine="708"/>
        <w:jc w:val="both"/>
        <w:rPr>
          <w:color w:val="000000"/>
          <w:szCs w:val="22"/>
        </w:rPr>
      </w:pPr>
      <w:r w:rsidRPr="00214D5C">
        <w:rPr>
          <w:color w:val="000000"/>
          <w:szCs w:val="22"/>
        </w:rPr>
        <w:t xml:space="preserve">Jak przedstawiono na wykresie </w:t>
      </w:r>
      <w:r w:rsidR="00713C5A">
        <w:rPr>
          <w:color w:val="000000"/>
          <w:szCs w:val="22"/>
        </w:rPr>
        <w:t>4</w:t>
      </w:r>
      <w:r w:rsidRPr="00214D5C">
        <w:rPr>
          <w:color w:val="000000"/>
          <w:szCs w:val="22"/>
        </w:rPr>
        <w:t xml:space="preserve"> również na pytanie dotyczące </w:t>
      </w:r>
      <w:r>
        <w:rPr>
          <w:color w:val="000000"/>
          <w:szCs w:val="22"/>
        </w:rPr>
        <w:t>wpływu s</w:t>
      </w:r>
      <w:r w:rsidRPr="00834071">
        <w:rPr>
          <w:color w:val="000000"/>
          <w:szCs w:val="22"/>
        </w:rPr>
        <w:t>tosowani</w:t>
      </w:r>
      <w:r>
        <w:rPr>
          <w:color w:val="000000"/>
          <w:szCs w:val="22"/>
        </w:rPr>
        <w:t>a</w:t>
      </w:r>
      <w:r w:rsidRPr="00834071">
        <w:rPr>
          <w:color w:val="000000"/>
          <w:szCs w:val="22"/>
        </w:rPr>
        <w:t xml:space="preserve"> uproszczeń w sprawozdawczości finansowej przez jednostki</w:t>
      </w:r>
      <w:r>
        <w:rPr>
          <w:color w:val="000000"/>
          <w:szCs w:val="22"/>
        </w:rPr>
        <w:t xml:space="preserve"> na</w:t>
      </w:r>
      <w:r w:rsidRPr="00834071">
        <w:rPr>
          <w:color w:val="000000"/>
          <w:szCs w:val="22"/>
        </w:rPr>
        <w:t xml:space="preserve"> zakres proced</w:t>
      </w:r>
      <w:r>
        <w:rPr>
          <w:color w:val="000000"/>
          <w:szCs w:val="22"/>
        </w:rPr>
        <w:t xml:space="preserve">ur badania pozostałych obszarów, ponad 52% ankietowanych udzieliła odpowiedzi przeczącej. </w:t>
      </w:r>
    </w:p>
    <w:p w14:paraId="1FA600BD" w14:textId="77777777" w:rsidR="005D2015" w:rsidRDefault="005D2015">
      <w:pPr>
        <w:spacing w:after="20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E771FD6" w14:textId="77777777" w:rsidR="00214D5C" w:rsidRPr="00214D5C" w:rsidRDefault="00214D5C" w:rsidP="00214D5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14D5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Wykres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13C5A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 xml:space="preserve">Wpływ </w:t>
      </w:r>
      <w:r w:rsidRPr="00214D5C">
        <w:rPr>
          <w:rFonts w:ascii="Times New Roman" w:hAnsi="Times New Roman" w:cs="Times New Roman"/>
          <w:sz w:val="20"/>
          <w:szCs w:val="20"/>
        </w:rPr>
        <w:t>stosowania uproszczeń w sprawozdawczości finansowej na zmniejszenie wykonywanych procedur badania dotyczących systemu rachunkowości</w:t>
      </w:r>
    </w:p>
    <w:p w14:paraId="7B0D3206" w14:textId="77777777" w:rsidR="006A75FE" w:rsidRPr="006A75FE" w:rsidRDefault="006A75FE" w:rsidP="006A75F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4515DA" w14:textId="77777777" w:rsidR="003A6BD7" w:rsidRDefault="00214D5C" w:rsidP="006A75F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7F83001" wp14:editId="67568CD3">
            <wp:extent cx="5066030" cy="3100655"/>
            <wp:effectExtent l="114300" t="114300" r="115570" b="138430"/>
            <wp:docPr id="67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" r="6402" b="4869"/>
                    <a:stretch/>
                  </pic:blipFill>
                  <pic:spPr bwMode="auto">
                    <a:xfrm>
                      <a:off x="0" y="0"/>
                      <a:ext cx="5066030" cy="3100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427D6" w14:textId="77777777" w:rsidR="00214D5C" w:rsidRDefault="00214D5C" w:rsidP="00214D5C">
      <w:pPr>
        <w:pStyle w:val="CM4"/>
        <w:spacing w:before="60" w:after="60" w:line="360" w:lineRule="auto"/>
        <w:ind w:firstLine="708"/>
        <w:jc w:val="both"/>
        <w:rPr>
          <w:color w:val="000000"/>
          <w:sz w:val="20"/>
          <w:szCs w:val="20"/>
        </w:rPr>
      </w:pPr>
      <w:r w:rsidRPr="00214D5C">
        <w:rPr>
          <w:color w:val="000000"/>
          <w:sz w:val="20"/>
          <w:szCs w:val="20"/>
        </w:rPr>
        <w:t>Źródło: opracowanie własne</w:t>
      </w:r>
    </w:p>
    <w:p w14:paraId="0258F5D7" w14:textId="77777777" w:rsidR="00214D5C" w:rsidRPr="00713C5A" w:rsidRDefault="002D56E1" w:rsidP="00713C5A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  <w:sz w:val="24"/>
          <w:szCs w:val="24"/>
        </w:rPr>
      </w:pPr>
      <w:r w:rsidRPr="00713C5A">
        <w:rPr>
          <w:b/>
          <w:bCs/>
          <w:sz w:val="24"/>
          <w:szCs w:val="24"/>
        </w:rPr>
        <w:t>Podsumowanie</w:t>
      </w:r>
    </w:p>
    <w:p w14:paraId="29DBFC51" w14:textId="77777777" w:rsidR="00C67DBD" w:rsidRDefault="002D56E1" w:rsidP="00C67D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 w:rsidRPr="00C6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rozważania, mo</w:t>
      </w:r>
      <w:r w:rsidR="00C6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żna</w:t>
      </w:r>
      <w:r w:rsidRPr="00C6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stwierdzić, że</w:t>
      </w:r>
      <w:r w:rsidRPr="00C6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C60" w:rsidRPr="00C6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 rynek badań ustawowych </w:t>
      </w:r>
      <w:r w:rsidR="00313C60" w:rsidRPr="00C67DBD">
        <w:rPr>
          <w:rFonts w:ascii="Times New Roman" w:hAnsi="Times New Roman" w:cs="Times New Roman"/>
          <w:color w:val="000000"/>
          <w:sz w:val="24"/>
          <w:szCs w:val="24"/>
        </w:rPr>
        <w:t>jednostek interesu publicznego wykazuje wysoką koncentrację, tak jak w innych  państwach członkowskich</w:t>
      </w:r>
      <w:r w:rsidR="00C67DBD">
        <w:rPr>
          <w:rFonts w:ascii="Times New Roman" w:hAnsi="Times New Roman" w:cs="Times New Roman"/>
          <w:color w:val="000000"/>
          <w:sz w:val="24"/>
          <w:szCs w:val="24"/>
        </w:rPr>
        <w:t xml:space="preserve">. Ta sytuacja wymaga </w:t>
      </w:r>
      <w:r w:rsidR="00313C60" w:rsidRPr="00C67DBD">
        <w:rPr>
          <w:rFonts w:ascii="Times New Roman" w:hAnsi="Times New Roman" w:cs="Times New Roman"/>
          <w:color w:val="000000"/>
          <w:sz w:val="24"/>
          <w:szCs w:val="24"/>
        </w:rPr>
        <w:t xml:space="preserve">ciągłego monitorowania w celu zapewnienia wysokiej jakości przeprowadzania badań. Należy się zgodzić z </w:t>
      </w:r>
      <w:r w:rsidR="00C67DBD" w:rsidRPr="00C67DBD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 w:rsidR="00C67DBD" w:rsidRPr="00C67DBD">
        <w:rPr>
          <w:rFonts w:ascii="Times New Roman" w:hAnsi="Times New Roman" w:cs="Times New Roman"/>
          <w:color w:val="000000"/>
          <w:sz w:val="24"/>
          <w:szCs w:val="24"/>
        </w:rPr>
        <w:t>Rydzak</w:t>
      </w:r>
      <w:proofErr w:type="spellEnd"/>
      <w:r w:rsidR="00C67DBD" w:rsidRPr="00C67DBD">
        <w:rPr>
          <w:rFonts w:ascii="Times New Roman" w:hAnsi="Times New Roman" w:cs="Times New Roman"/>
          <w:color w:val="000000"/>
          <w:sz w:val="24"/>
          <w:szCs w:val="24"/>
        </w:rPr>
        <w:t xml:space="preserve"> (2015, s. 70), że dominacja rynkowa określonej liczby firm audytorskich ma istotny wpływ na funkcjonowanie rynku usług audytorskich</w:t>
      </w:r>
      <w:r w:rsidR="00C67DB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67DBD" w:rsidRPr="00C67DBD">
        <w:rPr>
          <w:rFonts w:ascii="Times New Roman" w:eastAsia="AGaramondPro-Regular" w:hAnsi="Times New Roman" w:cs="Times New Roman"/>
          <w:sz w:val="24"/>
          <w:szCs w:val="24"/>
        </w:rPr>
        <w:t xml:space="preserve"> decyzje</w:t>
      </w:r>
      <w:r w:rsidR="00C67DBD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C67DBD" w:rsidRPr="00C67DBD">
        <w:rPr>
          <w:rFonts w:ascii="Times New Roman" w:eastAsia="AGaramondPro-Regular" w:hAnsi="Times New Roman" w:cs="Times New Roman"/>
          <w:sz w:val="24"/>
          <w:szCs w:val="24"/>
        </w:rPr>
        <w:t xml:space="preserve">cenowe </w:t>
      </w:r>
      <w:r w:rsidR="00C67DBD">
        <w:rPr>
          <w:rFonts w:ascii="Times New Roman" w:eastAsia="AGaramondPro-Regular" w:hAnsi="Times New Roman" w:cs="Times New Roman"/>
          <w:sz w:val="24"/>
          <w:szCs w:val="24"/>
        </w:rPr>
        <w:t xml:space="preserve">liderów </w:t>
      </w:r>
      <w:r w:rsidR="00C67DBD" w:rsidRPr="00C67DBD">
        <w:rPr>
          <w:rFonts w:ascii="Times New Roman" w:eastAsia="AGaramondPro-Regular" w:hAnsi="Times New Roman" w:cs="Times New Roman"/>
          <w:sz w:val="24"/>
          <w:szCs w:val="24"/>
        </w:rPr>
        <w:t>są od siebie wzajemnie uzależnione. Cena żądana przez jednego</w:t>
      </w:r>
      <w:r w:rsidR="00C67DBD">
        <w:rPr>
          <w:rFonts w:ascii="Times New Roman" w:eastAsia="AGaramondPro-Regular" w:hAnsi="Times New Roman" w:cs="Times New Roman"/>
          <w:sz w:val="24"/>
          <w:szCs w:val="24"/>
        </w:rPr>
        <w:t xml:space="preserve"> oligopolistę</w:t>
      </w:r>
      <w:r w:rsidR="00C67DBD" w:rsidRPr="00C67DBD">
        <w:rPr>
          <w:rFonts w:ascii="Times New Roman" w:eastAsia="AGaramondPro-Regular" w:hAnsi="Times New Roman" w:cs="Times New Roman"/>
          <w:sz w:val="24"/>
          <w:szCs w:val="24"/>
        </w:rPr>
        <w:t xml:space="preserve"> w istotn</w:t>
      </w:r>
      <w:r w:rsidR="00C67DBD">
        <w:rPr>
          <w:rFonts w:ascii="Times New Roman" w:eastAsia="AGaramondPro-Regular" w:hAnsi="Times New Roman" w:cs="Times New Roman"/>
          <w:sz w:val="24"/>
          <w:szCs w:val="24"/>
        </w:rPr>
        <w:t xml:space="preserve">ie </w:t>
      </w:r>
      <w:r w:rsidR="00C67DBD" w:rsidRPr="00C67DBD">
        <w:rPr>
          <w:rFonts w:ascii="Times New Roman" w:eastAsia="AGaramondPro-Regular" w:hAnsi="Times New Roman" w:cs="Times New Roman"/>
          <w:sz w:val="24"/>
          <w:szCs w:val="24"/>
        </w:rPr>
        <w:t xml:space="preserve">wpływa na </w:t>
      </w:r>
      <w:r w:rsidR="00C67DBD">
        <w:rPr>
          <w:rFonts w:ascii="Times New Roman" w:eastAsia="AGaramondPro-Regular" w:hAnsi="Times New Roman" w:cs="Times New Roman"/>
          <w:sz w:val="24"/>
          <w:szCs w:val="24"/>
        </w:rPr>
        <w:t>wielkości</w:t>
      </w:r>
      <w:r w:rsidR="00C67DBD" w:rsidRPr="00C67DBD">
        <w:rPr>
          <w:rFonts w:ascii="Times New Roman" w:eastAsia="AGaramondPro-Regular" w:hAnsi="Times New Roman" w:cs="Times New Roman"/>
          <w:sz w:val="24"/>
          <w:szCs w:val="24"/>
        </w:rPr>
        <w:t xml:space="preserve"> sprzedaży pozostałych.</w:t>
      </w:r>
      <w:r w:rsidR="00C67DBD">
        <w:rPr>
          <w:rFonts w:ascii="Times New Roman" w:eastAsia="AGaramondPro-Regular" w:hAnsi="Times New Roman" w:cs="Times New Roman"/>
          <w:sz w:val="24"/>
          <w:szCs w:val="24"/>
        </w:rPr>
        <w:t xml:space="preserve"> Jest to istotna bariera wejścia na rynek nowych firm audytorskich.</w:t>
      </w:r>
    </w:p>
    <w:p w14:paraId="776B86A4" w14:textId="77777777" w:rsidR="00C67DBD" w:rsidRDefault="00C67DBD" w:rsidP="00C67D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>
        <w:rPr>
          <w:rFonts w:ascii="Times New Roman" w:eastAsia="AGaramondPro-Regular" w:hAnsi="Times New Roman" w:cs="Times New Roman"/>
          <w:sz w:val="24"/>
          <w:szCs w:val="24"/>
        </w:rPr>
        <w:t>Wprowadzenie MSB i ich skalowalność nie przyczyniła się do zmniejszenia zakresu procedur badania sprawozdań finansowych małych i średnich jednostek sporządzających uproszczone sprawozdania finansow</w:t>
      </w:r>
      <w:r w:rsidR="00E8474F">
        <w:rPr>
          <w:rFonts w:ascii="Times New Roman" w:eastAsia="AGaramondPro-Regular" w:hAnsi="Times New Roman" w:cs="Times New Roman"/>
          <w:sz w:val="24"/>
          <w:szCs w:val="24"/>
        </w:rPr>
        <w:t>e.</w:t>
      </w:r>
    </w:p>
    <w:p w14:paraId="731942E7" w14:textId="77777777" w:rsidR="004E6DED" w:rsidRDefault="004E6DED" w:rsidP="004E6D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28858A" w14:textId="77777777" w:rsidR="004E6DED" w:rsidRDefault="004E6DED" w:rsidP="004E6D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97CF15" w14:textId="77777777" w:rsidR="005D2015" w:rsidRDefault="005D2015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6F02B32" w14:textId="77777777" w:rsidR="004E6DED" w:rsidRPr="008036A9" w:rsidRDefault="004E6DED" w:rsidP="005D2015">
      <w:pPr>
        <w:pStyle w:val="Akapitzlist"/>
        <w:spacing w:line="360" w:lineRule="auto"/>
        <w:ind w:left="360"/>
        <w:jc w:val="both"/>
        <w:rPr>
          <w:b/>
          <w:bCs/>
          <w:sz w:val="24"/>
          <w:szCs w:val="24"/>
        </w:rPr>
      </w:pPr>
      <w:r w:rsidRPr="008036A9">
        <w:rPr>
          <w:b/>
          <w:bCs/>
          <w:sz w:val="24"/>
          <w:szCs w:val="24"/>
        </w:rPr>
        <w:lastRenderedPageBreak/>
        <w:t>Literatura</w:t>
      </w:r>
    </w:p>
    <w:p w14:paraId="76B623CF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Dyrektywa nr 2014/56/UE Parlamentu Europejskiego i Rady z 16 kwietnia 2014 r. zmieniająca dyrektywę 2006/43/WE w sprawie ustawowych badań rocznych sprawozdań finansowych i skonsolidowanych sprawozdań finansowych, Dz. U. WE L 158/196 z 27.05.2014, </w:t>
      </w:r>
      <w:hyperlink r:id="rId12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https://eur-lex.europa.eu/legal-content/PL/TXT/PDF/?uri=CELEX:32014L0056&amp;from=EN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29.02.2020)</w:t>
      </w:r>
    </w:p>
    <w:p w14:paraId="4488A5C6" w14:textId="77777777" w:rsidR="004E6DED" w:rsidRPr="004E6DED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  <w:lang w:val="en-GB"/>
        </w:rPr>
      </w:pPr>
      <w:r w:rsidRPr="008036A9">
        <w:rPr>
          <w:rFonts w:ascii="Times New Roman" w:hAnsi="Times New Roman"/>
          <w:sz w:val="22"/>
          <w:szCs w:val="22"/>
          <w:lang w:val="en-GB"/>
        </w:rPr>
        <w:t xml:space="preserve">Eshleman J.D., Lawson B.P. (2017), </w:t>
      </w:r>
      <w:r w:rsidRPr="008036A9">
        <w:rPr>
          <w:rFonts w:ascii="Times New Roman" w:hAnsi="Times New Roman"/>
          <w:i/>
          <w:iCs/>
          <w:sz w:val="22"/>
          <w:szCs w:val="22"/>
          <w:lang w:val="en-GB"/>
        </w:rPr>
        <w:t>Audit Market Structure and Audit Pricing</w:t>
      </w:r>
      <w:r w:rsidRPr="008036A9">
        <w:rPr>
          <w:rFonts w:ascii="Times New Roman" w:hAnsi="Times New Roman"/>
          <w:sz w:val="22"/>
          <w:szCs w:val="22"/>
          <w:lang w:val="en-GB"/>
        </w:rPr>
        <w:t>, „Accounting Horizons”, 31 (1), s. 57–81</w:t>
      </w:r>
    </w:p>
    <w:p w14:paraId="494C7439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Fałowski W. (2020), </w:t>
      </w:r>
      <w:r w:rsidRPr="008036A9">
        <w:rPr>
          <w:rFonts w:ascii="Times New Roman" w:hAnsi="Times New Roman"/>
          <w:i/>
          <w:iCs/>
          <w:sz w:val="22"/>
          <w:szCs w:val="22"/>
        </w:rPr>
        <w:t xml:space="preserve">17 lat funkcjonowania Krajowej Komisji Nadzoru, </w:t>
      </w:r>
      <w:proofErr w:type="spellStart"/>
      <w:r w:rsidRPr="008036A9">
        <w:rPr>
          <w:rFonts w:ascii="Times New Roman" w:hAnsi="Times New Roman"/>
          <w:sz w:val="22"/>
          <w:szCs w:val="22"/>
        </w:rPr>
        <w:t>SkwP</w:t>
      </w:r>
      <w:proofErr w:type="spellEnd"/>
      <w:r w:rsidRPr="008036A9">
        <w:rPr>
          <w:rFonts w:ascii="Times New Roman" w:hAnsi="Times New Roman"/>
          <w:sz w:val="22"/>
          <w:szCs w:val="22"/>
        </w:rPr>
        <w:t xml:space="preserve">, Rachunkowość – audytor, </w:t>
      </w:r>
      <w:hyperlink r:id="rId13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https://rachunkowosc.com.pl/17_lat_funkcjonowania_krajowej_komisji_nadzoru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12.02.2020)</w:t>
      </w:r>
    </w:p>
    <w:p w14:paraId="151379A3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Gad J., (2018) </w:t>
      </w:r>
      <w:r w:rsidRPr="008036A9">
        <w:rPr>
          <w:rFonts w:ascii="Times New Roman" w:hAnsi="Times New Roman"/>
          <w:i/>
          <w:iCs/>
          <w:sz w:val="22"/>
          <w:szCs w:val="22"/>
        </w:rPr>
        <w:t xml:space="preserve">Rynek usług audytorskich świadczonych na rzecz spółek publicznych notowanych na polskim rynku kapitałowym, </w:t>
      </w:r>
      <w:r w:rsidRPr="008036A9">
        <w:rPr>
          <w:rFonts w:ascii="Times New Roman" w:hAnsi="Times New Roman"/>
          <w:sz w:val="22"/>
          <w:szCs w:val="22"/>
        </w:rPr>
        <w:t>„Zeszyty Teoretyczne Rachunkowości”, t. 97 (153), SKwP, Warszawa, s. 12</w:t>
      </w:r>
    </w:p>
    <w:p w14:paraId="272E2E45" w14:textId="77777777" w:rsidR="004E6DED" w:rsidRPr="008036A9" w:rsidRDefault="004E6DED" w:rsidP="004E6DED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proofErr w:type="spellStart"/>
      <w:r w:rsidRPr="008036A9">
        <w:rPr>
          <w:rFonts w:ascii="Times New Roman" w:hAnsi="Times New Roman" w:cs="Times New Roman"/>
          <w:sz w:val="22"/>
          <w:szCs w:val="22"/>
        </w:rPr>
        <w:t>Iwanowicz</w:t>
      </w:r>
      <w:proofErr w:type="spellEnd"/>
      <w:r w:rsidRPr="008036A9">
        <w:rPr>
          <w:rFonts w:ascii="Times New Roman" w:hAnsi="Times New Roman" w:cs="Times New Roman"/>
          <w:sz w:val="22"/>
          <w:szCs w:val="22"/>
        </w:rPr>
        <w:t xml:space="preserve"> B., (2019), </w:t>
      </w:r>
      <w:r w:rsidRPr="008036A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Kluczowe sprawy audytu w sprawozdaniach z badania wybranych spółek giełdowych, </w:t>
      </w:r>
      <w:r w:rsidRPr="008036A9">
        <w:rPr>
          <w:rFonts w:ascii="Times New Roman" w:hAnsi="Times New Roman" w:cs="Times New Roman"/>
          <w:sz w:val="22"/>
          <w:szCs w:val="22"/>
        </w:rPr>
        <w:t>„Zeszyty Teoretyczne Rachunkowości”, t. 105 (161), SKwP, Warszawa,</w:t>
      </w:r>
    </w:p>
    <w:p w14:paraId="31B1CE8E" w14:textId="77777777" w:rsidR="004E6DED" w:rsidRPr="008036A9" w:rsidRDefault="004E6DED" w:rsidP="004E6DE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036A9">
        <w:rPr>
          <w:rFonts w:ascii="Times New Roman" w:hAnsi="Times New Roman" w:cs="Times New Roman"/>
          <w:sz w:val="22"/>
          <w:szCs w:val="22"/>
        </w:rPr>
        <w:t xml:space="preserve">Kogut J., (2017), </w:t>
      </w:r>
      <w:r w:rsidRPr="008036A9">
        <w:rPr>
          <w:rFonts w:ascii="Times New Roman" w:hAnsi="Times New Roman" w:cs="Times New Roman"/>
          <w:i/>
          <w:iCs/>
          <w:sz w:val="22"/>
          <w:szCs w:val="22"/>
        </w:rPr>
        <w:t xml:space="preserve">Kierunki zmian w systemie rewizji finansowej oraz ich wpływ Na jakość i postrzeganie badania sprawozdań finansowych, </w:t>
      </w:r>
      <w:r w:rsidRPr="008036A9">
        <w:rPr>
          <w:rFonts w:ascii="Times New Roman" w:hAnsi="Times New Roman" w:cs="Times New Roman"/>
          <w:sz w:val="22"/>
          <w:szCs w:val="22"/>
        </w:rPr>
        <w:t>Prace Naukowe Uniwersytetu Ekonomicznego we Wrocławiu, nr 479, s.86</w:t>
      </w:r>
    </w:p>
    <w:p w14:paraId="0D4DEDFD" w14:textId="77777777" w:rsidR="004E6DED" w:rsidRPr="008036A9" w:rsidRDefault="004E6DED" w:rsidP="004E6D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36A9">
        <w:rPr>
          <w:rFonts w:ascii="Times New Roman" w:hAnsi="Times New Roman" w:cs="Times New Roman"/>
        </w:rPr>
        <w:t xml:space="preserve">Komisja Europejska (2017), </w:t>
      </w:r>
      <w:r w:rsidRPr="008036A9">
        <w:rPr>
          <w:rFonts w:ascii="Times New Roman" w:hAnsi="Times New Roman" w:cs="Times New Roman"/>
          <w:i/>
          <w:iCs/>
        </w:rPr>
        <w:t>Sprawozdanie Komisji dla Rady, Europejskiego Banku Centralnego, Europejskiej</w:t>
      </w:r>
      <w:r>
        <w:rPr>
          <w:rFonts w:ascii="Times New Roman" w:hAnsi="Times New Roman" w:cs="Times New Roman"/>
          <w:i/>
          <w:iCs/>
        </w:rPr>
        <w:t xml:space="preserve"> </w:t>
      </w:r>
      <w:r w:rsidRPr="008036A9">
        <w:rPr>
          <w:rFonts w:ascii="Times New Roman" w:hAnsi="Times New Roman" w:cs="Times New Roman"/>
          <w:i/>
          <w:iCs/>
        </w:rPr>
        <w:t>Rady ds. Ryzyka Systemowego i Parlamentu Europejskiego w sprawie monitorowania zmian</w:t>
      </w:r>
      <w:r>
        <w:rPr>
          <w:rFonts w:ascii="Times New Roman" w:hAnsi="Times New Roman" w:cs="Times New Roman"/>
          <w:i/>
          <w:iCs/>
        </w:rPr>
        <w:t xml:space="preserve"> </w:t>
      </w:r>
      <w:r w:rsidRPr="008036A9">
        <w:rPr>
          <w:rFonts w:ascii="Times New Roman" w:hAnsi="Times New Roman" w:cs="Times New Roman"/>
          <w:i/>
          <w:iCs/>
        </w:rPr>
        <w:t>na rynku świadczenia usług w zakresie badań ustawowych na rzecz jednostek interesu publicznego na</w:t>
      </w:r>
      <w:r>
        <w:rPr>
          <w:rFonts w:ascii="Times New Roman" w:hAnsi="Times New Roman" w:cs="Times New Roman"/>
          <w:i/>
          <w:iCs/>
        </w:rPr>
        <w:t xml:space="preserve"> </w:t>
      </w:r>
      <w:r w:rsidRPr="008036A9">
        <w:rPr>
          <w:rFonts w:ascii="Times New Roman" w:hAnsi="Times New Roman" w:cs="Times New Roman"/>
          <w:i/>
          <w:iCs/>
        </w:rPr>
        <w:t>podstawie art. 27 rozporządzenia (UE) nr 537/2014</w:t>
      </w:r>
      <w:r w:rsidRPr="008036A9">
        <w:rPr>
          <w:rFonts w:ascii="Times New Roman" w:hAnsi="Times New Roman" w:cs="Times New Roman"/>
        </w:rPr>
        <w:t>, COM(2017) 464, Bruksela, s. 8</w:t>
      </w:r>
      <w:r w:rsidRPr="008036A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14" w:history="1">
        <w:r w:rsidRPr="008036A9">
          <w:rPr>
            <w:rStyle w:val="Hipercze"/>
            <w:rFonts w:ascii="Times New Roman" w:hAnsi="Times New Roman" w:cs="Times New Roman"/>
          </w:rPr>
          <w:t>https://eur-lex.europa.eu/legal-content/PL/TXT/PDF/?uri=CELEX:52017DC0464&amp;from=PL</w:t>
        </w:r>
      </w:hyperlink>
      <w:r>
        <w:rPr>
          <w:rFonts w:ascii="Times New Roman" w:hAnsi="Times New Roman" w:cs="Times New Roman"/>
        </w:rPr>
        <w:t>, (dostęp 28.02.2020)</w:t>
      </w:r>
    </w:p>
    <w:p w14:paraId="01AFB292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Komisja Europejska, Zielona Księga, </w:t>
      </w:r>
      <w:r w:rsidRPr="008036A9">
        <w:rPr>
          <w:rFonts w:ascii="Times New Roman" w:hAnsi="Times New Roman"/>
          <w:i/>
          <w:iCs/>
          <w:sz w:val="22"/>
          <w:szCs w:val="22"/>
        </w:rPr>
        <w:t>Polityka badania sprawozdań finansowych: lekcje wyciągnięte z kryzysu, (2010),</w:t>
      </w:r>
      <w:hyperlink r:id="rId15" w:history="1">
        <w:r w:rsidRPr="008036A9">
          <w:rPr>
            <w:rStyle w:val="Hipercze"/>
            <w:rFonts w:ascii="Times New Roman" w:hAnsi="Times New Roman"/>
            <w:i/>
            <w:iCs/>
            <w:sz w:val="22"/>
            <w:szCs w:val="22"/>
          </w:rPr>
          <w:t>https://op.europa.eu/pl/publication-detail/-/publication/08744053-2f56-415a-a985-7ceaef3d3b3a/language-pl</w:t>
        </w:r>
      </w:hyperlink>
      <w:r w:rsidRPr="008036A9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8036A9">
        <w:rPr>
          <w:rFonts w:ascii="Times New Roman" w:hAnsi="Times New Roman"/>
          <w:sz w:val="22"/>
          <w:szCs w:val="22"/>
        </w:rPr>
        <w:t>s. 6-9,</w:t>
      </w:r>
      <w:r w:rsidRPr="008036A9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036A9">
        <w:rPr>
          <w:rFonts w:ascii="Times New Roman" w:hAnsi="Times New Roman"/>
          <w:sz w:val="22"/>
          <w:szCs w:val="22"/>
        </w:rPr>
        <w:t>(dostęp 10.02.2020)</w:t>
      </w:r>
    </w:p>
    <w:p w14:paraId="4C622C3B" w14:textId="77777777" w:rsidR="004E6DED" w:rsidRPr="008036A9" w:rsidRDefault="004E6DED" w:rsidP="004E6DED">
      <w:pPr>
        <w:spacing w:after="120"/>
        <w:jc w:val="both"/>
        <w:rPr>
          <w:rFonts w:ascii="Times New Roman" w:hAnsi="Times New Roman" w:cs="Times New Roman"/>
        </w:rPr>
      </w:pPr>
      <w:r w:rsidRPr="008036A9">
        <w:rPr>
          <w:rFonts w:ascii="Times New Roman" w:hAnsi="Times New Roman" w:cs="Times New Roman"/>
        </w:rPr>
        <w:t xml:space="preserve">Komisja Europejska, </w:t>
      </w:r>
      <w:r w:rsidRPr="008036A9">
        <w:rPr>
          <w:rFonts w:ascii="Times New Roman" w:hAnsi="Times New Roman" w:cs="Times New Roman"/>
          <w:i/>
          <w:iCs/>
        </w:rPr>
        <w:t>Zielone i Białe księgi</w:t>
      </w:r>
      <w:r w:rsidRPr="008036A9">
        <w:rPr>
          <w:rFonts w:ascii="Times New Roman" w:hAnsi="Times New Roman" w:cs="Times New Roman"/>
        </w:rPr>
        <w:t xml:space="preserve">, Kancelaria Senatu Biuro Analiz i Dokumentacji, Dział Analiz i Opracowań Tematycznych, Opracowanie Tematyczne, OT-587, lipiec 2010, </w:t>
      </w:r>
      <w:hyperlink r:id="rId16" w:history="1">
        <w:r w:rsidRPr="008036A9">
          <w:rPr>
            <w:rStyle w:val="Hipercze"/>
            <w:rFonts w:ascii="Times New Roman" w:hAnsi="Times New Roman" w:cs="Times New Roman"/>
          </w:rPr>
          <w:t>https://op.europa.eu/pl/publication-detail/-/publication/08744053-2f56-415a-a985-7ceaef3d3b3a/language-pl</w:t>
        </w:r>
      </w:hyperlink>
      <w:r w:rsidRPr="008036A9">
        <w:rPr>
          <w:rFonts w:ascii="Times New Roman" w:hAnsi="Times New Roman" w:cs="Times New Roman"/>
        </w:rPr>
        <w:t>, s. 5, (dostęp 10.02.2020)</w:t>
      </w:r>
    </w:p>
    <w:p w14:paraId="6D47BF2E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Komisja Nadzoru Audytowego,(12,06.2019), </w:t>
      </w:r>
      <w:r w:rsidRPr="008036A9">
        <w:rPr>
          <w:rFonts w:ascii="Times New Roman" w:hAnsi="Times New Roman"/>
          <w:i/>
          <w:iCs/>
          <w:sz w:val="22"/>
          <w:szCs w:val="22"/>
        </w:rPr>
        <w:t xml:space="preserve">„Sprawozdanie z monitorowania rynku usług świadczonych przez biegłych rewidentów i firmy audytorskie oraz działalności komitetów audytu”, </w:t>
      </w:r>
      <w:r w:rsidRPr="008036A9">
        <w:rPr>
          <w:rFonts w:ascii="Times New Roman" w:hAnsi="Times New Roman"/>
          <w:sz w:val="22"/>
          <w:szCs w:val="22"/>
        </w:rPr>
        <w:t xml:space="preserve">źródło: </w:t>
      </w:r>
      <w:hyperlink r:id="rId17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https://www.gov.pl/web/finanse/sprawozdania-z-monitorowania-rynku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16.02.2020), s.14</w:t>
      </w:r>
    </w:p>
    <w:p w14:paraId="747E4031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Komisja Nadzoru Audytowego,(12,06.2019), </w:t>
      </w:r>
      <w:r w:rsidRPr="008036A9">
        <w:rPr>
          <w:rFonts w:ascii="Times New Roman" w:hAnsi="Times New Roman"/>
          <w:i/>
          <w:iCs/>
          <w:sz w:val="22"/>
          <w:szCs w:val="22"/>
        </w:rPr>
        <w:t xml:space="preserve">„Sprawozdanie z monitorowania rynku usług świadczonych przez biegłych rewidentów i firmy audytorskie oraz działalności komitetów audytu”, </w:t>
      </w:r>
      <w:r w:rsidRPr="008036A9">
        <w:rPr>
          <w:rFonts w:ascii="Times New Roman" w:hAnsi="Times New Roman"/>
          <w:sz w:val="22"/>
          <w:szCs w:val="22"/>
        </w:rPr>
        <w:t xml:space="preserve">źródło: </w:t>
      </w:r>
      <w:hyperlink r:id="rId18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https://www.gov.pl/web/finanse/sprawozdania-z-monitorowania-rynku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16.02.2020)</w:t>
      </w:r>
    </w:p>
    <w:p w14:paraId="2A719B00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>Krajowy Standard Badania nr 230 w brzmieniu Międzynarodowego Standardu Badania 230</w:t>
      </w:r>
      <w:r>
        <w:rPr>
          <w:rFonts w:ascii="Times New Roman" w:hAnsi="Times New Roman"/>
          <w:sz w:val="22"/>
          <w:szCs w:val="22"/>
        </w:rPr>
        <w:t xml:space="preserve">, </w:t>
      </w:r>
      <w:r w:rsidRPr="008036A9">
        <w:rPr>
          <w:rFonts w:ascii="Times New Roman" w:hAnsi="Times New Roman"/>
          <w:sz w:val="22"/>
          <w:szCs w:val="22"/>
        </w:rPr>
        <w:t xml:space="preserve">Dokumentacja Badania, Załącznik nr 1.4 do uchwały Nr 3430/52a/2019 Krajowej Rady Biegłych Rewidentów  z dnia 21 marca 2019 r., </w:t>
      </w:r>
      <w:hyperlink r:id="rId19" w:history="1">
        <w:r w:rsidRPr="00F35834">
          <w:rPr>
            <w:rStyle w:val="Hipercze"/>
            <w:rFonts w:ascii="Times New Roman" w:hAnsi="Times New Roman"/>
            <w:sz w:val="22"/>
            <w:szCs w:val="22"/>
          </w:rPr>
          <w:t>https://www.pibr.org.pl/assets/file/4142,1.4%20KSB%20230.pdf</w:t>
        </w:r>
      </w:hyperlink>
      <w:r w:rsidRPr="008036A9">
        <w:rPr>
          <w:rFonts w:ascii="Times New Roman" w:hAnsi="Times New Roman"/>
          <w:sz w:val="22"/>
          <w:szCs w:val="22"/>
        </w:rPr>
        <w:t xml:space="preserve"> , (dostęp 28.02.2020 r.)</w:t>
      </w:r>
    </w:p>
    <w:p w14:paraId="63542AEF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Kucharczyk K. (2018), </w:t>
      </w:r>
      <w:r w:rsidRPr="008036A9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>Duże przetasowania na krajowym rynku audytu</w:t>
      </w:r>
      <w:r w:rsidRPr="008036A9">
        <w:rPr>
          <w:rFonts w:ascii="Times New Roman" w:hAnsi="Times New Roman"/>
          <w:sz w:val="22"/>
          <w:szCs w:val="22"/>
        </w:rPr>
        <w:t xml:space="preserve">, Parkiet, Źródło: </w:t>
      </w:r>
      <w:hyperlink r:id="rId20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https://www.parkiet.com/Firmy/312089988-Duze-przetasowania-na-krajowym-rynku-audytu.html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16.02.2020)</w:t>
      </w:r>
    </w:p>
    <w:p w14:paraId="2F000E28" w14:textId="77777777" w:rsidR="004E6DED" w:rsidRPr="008036A9" w:rsidRDefault="004E6DED" w:rsidP="004E6DED">
      <w:pPr>
        <w:pStyle w:val="Tekstprzypisudolnego"/>
        <w:jc w:val="both"/>
        <w:rPr>
          <w:rFonts w:ascii="Times New Roman" w:eastAsia="TimesNewRomanPSMT" w:hAnsi="Times New Roman"/>
          <w:sz w:val="22"/>
          <w:szCs w:val="22"/>
        </w:rPr>
      </w:pPr>
      <w:r w:rsidRPr="008036A9">
        <w:rPr>
          <w:rFonts w:ascii="Times New Roman" w:eastAsia="TimesNewRomanPSMT" w:hAnsi="Times New Roman"/>
          <w:sz w:val="22"/>
          <w:szCs w:val="22"/>
        </w:rPr>
        <w:t xml:space="preserve">Ministerstwo Finansów (2017), </w:t>
      </w:r>
      <w:hyperlink r:id="rId21" w:history="1">
        <w:r w:rsidRPr="008036A9">
          <w:rPr>
            <w:rStyle w:val="Hipercze"/>
            <w:rFonts w:ascii="Times New Roman" w:eastAsia="TimesNewRomanPSMT" w:hAnsi="Times New Roman"/>
            <w:sz w:val="22"/>
            <w:szCs w:val="22"/>
          </w:rPr>
          <w:t>http://www.mf.gov.pl/ministerstwo-finansow/dzialalnosc/rewizja-finansowa/aktualności</w:t>
        </w:r>
      </w:hyperlink>
      <w:r w:rsidRPr="008036A9">
        <w:rPr>
          <w:rFonts w:ascii="Times New Roman" w:eastAsia="TimesNewRomanPSMT" w:hAnsi="Times New Roman"/>
          <w:sz w:val="22"/>
          <w:szCs w:val="22"/>
        </w:rPr>
        <w:t xml:space="preserve"> (dostęp 17.02.2020).</w:t>
      </w:r>
    </w:p>
    <w:p w14:paraId="302BED9F" w14:textId="77777777" w:rsidR="004E6DED" w:rsidRPr="008036A9" w:rsidRDefault="004E6DED" w:rsidP="004E6DE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036A9">
        <w:rPr>
          <w:rFonts w:ascii="Times New Roman" w:hAnsi="Times New Roman" w:cs="Times New Roman"/>
          <w:sz w:val="22"/>
          <w:szCs w:val="22"/>
        </w:rPr>
        <w:t xml:space="preserve">Piekarska L. (2008), </w:t>
      </w:r>
      <w:r w:rsidRPr="008036A9">
        <w:rPr>
          <w:rFonts w:ascii="Times New Roman" w:hAnsi="Times New Roman" w:cs="Times New Roman"/>
          <w:i/>
          <w:iCs/>
          <w:sz w:val="22"/>
          <w:szCs w:val="22"/>
        </w:rPr>
        <w:t>Globalny kryzys finansowy</w:t>
      </w:r>
      <w:r w:rsidRPr="008036A9">
        <w:rPr>
          <w:rFonts w:ascii="Times New Roman" w:hAnsi="Times New Roman" w:cs="Times New Roman"/>
          <w:sz w:val="22"/>
          <w:szCs w:val="22"/>
        </w:rPr>
        <w:t xml:space="preserve">, </w:t>
      </w:r>
      <w:hyperlink r:id="rId22" w:history="1">
        <w:r w:rsidRPr="008036A9">
          <w:rPr>
            <w:rStyle w:val="Hipercze"/>
            <w:rFonts w:ascii="Times New Roman" w:hAnsi="Times New Roman" w:cs="Times New Roman"/>
            <w:sz w:val="22"/>
            <w:szCs w:val="22"/>
          </w:rPr>
          <w:t>http://kolegia.sgh.waw.pl/pl/KES/struktura/kue/publikacje/Documents/Piekarska%20-%20GLOBALNY%20KRYZYS%20FINANSOWY%20Z%202008%20R.pdf</w:t>
        </w:r>
      </w:hyperlink>
      <w:r w:rsidRPr="008036A9">
        <w:rPr>
          <w:rFonts w:ascii="Times New Roman" w:hAnsi="Times New Roman" w:cs="Times New Roman"/>
          <w:sz w:val="22"/>
          <w:szCs w:val="22"/>
        </w:rPr>
        <w:t xml:space="preserve"> (dostęp 10.02.2020)</w:t>
      </w:r>
    </w:p>
    <w:p w14:paraId="2047C57B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1" w:name="_Hlk40347404"/>
      <w:r w:rsidRPr="008036A9">
        <w:rPr>
          <w:rFonts w:ascii="Times New Roman" w:hAnsi="Times New Roman"/>
          <w:color w:val="000000"/>
          <w:sz w:val="22"/>
          <w:szCs w:val="22"/>
        </w:rPr>
        <w:t>Przewodnik stosowania Międzynarodowych Standardów Rewizji Finansowej w badaniu małych i średnich jednostek, (Grudzień 2011) wydanie III, IFAC, tłumaczenie: Barcikowska A., Sobińska E., Zakrzewska J., KIBR (lipiec 2013), s.89</w:t>
      </w:r>
    </w:p>
    <w:bookmarkEnd w:id="1"/>
    <w:p w14:paraId="7C6FB58E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lastRenderedPageBreak/>
        <w:t>Rada dyrektorów Izby Biegłych Rewidentów (</w:t>
      </w:r>
      <w:proofErr w:type="spellStart"/>
      <w:r w:rsidRPr="008036A9">
        <w:rPr>
          <w:rFonts w:ascii="Times New Roman" w:hAnsi="Times New Roman"/>
          <w:sz w:val="22"/>
          <w:szCs w:val="22"/>
        </w:rPr>
        <w:t>Wirtschaftsprüferkammer</w:t>
      </w:r>
      <w:proofErr w:type="spellEnd"/>
      <w:r w:rsidRPr="008036A9">
        <w:rPr>
          <w:rFonts w:ascii="Times New Roman" w:hAnsi="Times New Roman"/>
          <w:sz w:val="22"/>
          <w:szCs w:val="22"/>
        </w:rPr>
        <w:t xml:space="preserve">), 2015) : </w:t>
      </w:r>
      <w:r w:rsidRPr="008036A9">
        <w:rPr>
          <w:rFonts w:ascii="Times New Roman" w:hAnsi="Times New Roman"/>
          <w:i/>
          <w:iCs/>
          <w:sz w:val="22"/>
          <w:szCs w:val="22"/>
        </w:rPr>
        <w:t>Uwagi odnośnie podejścia proporcjonalnego (skalowanego) do wykonania badania na podstawie MSB</w:t>
      </w:r>
      <w:r w:rsidRPr="008036A9">
        <w:rPr>
          <w:rFonts w:ascii="Times New Roman" w:hAnsi="Times New Roman"/>
          <w:sz w:val="22"/>
          <w:szCs w:val="22"/>
        </w:rPr>
        <w:t>, przygotowany</w:t>
      </w:r>
      <w:r>
        <w:rPr>
          <w:rFonts w:ascii="Times New Roman" w:hAnsi="Times New Roman"/>
          <w:sz w:val="22"/>
          <w:szCs w:val="22"/>
        </w:rPr>
        <w:t xml:space="preserve"> </w:t>
      </w:r>
      <w:r w:rsidRPr="008036A9">
        <w:rPr>
          <w:rFonts w:ascii="Times New Roman" w:hAnsi="Times New Roman"/>
          <w:sz w:val="22"/>
          <w:szCs w:val="22"/>
        </w:rPr>
        <w:t xml:space="preserve">przez Komisję ds. rozwoju usług biegłego rewidenta w sektorze MŚP, źródło:  </w:t>
      </w:r>
      <w:hyperlink r:id="rId23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https://www.pibr.org.pl/pl/aktualnosci/5,Wykonywanie-badania-na-podstawie-MSB-dokument-WPK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16.02.2020)</w:t>
      </w:r>
    </w:p>
    <w:p w14:paraId="6494F96D" w14:textId="77777777" w:rsidR="004E6DED" w:rsidRPr="008036A9" w:rsidRDefault="004E6DED" w:rsidP="004E6DE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036A9">
        <w:rPr>
          <w:rFonts w:ascii="Times New Roman" w:hAnsi="Times New Roman" w:cs="Times New Roman"/>
          <w:sz w:val="22"/>
          <w:szCs w:val="22"/>
        </w:rPr>
        <w:t xml:space="preserve">Rozporządzenie (UE) nr 537/2014  Parlamentu Europejskiego I Rady 16 kwietnia 2014 r. w sprawie szczegółowych wymogów dotyczących ustawowych badań sprawozdań finansowych jednostek interesu publicznego, uchylające decyzję Komisji 2005/909/WE, </w:t>
      </w:r>
      <w:hyperlink r:id="rId24" w:history="1">
        <w:r w:rsidRPr="008036A9">
          <w:rPr>
            <w:rStyle w:val="Hipercze"/>
            <w:rFonts w:ascii="Times New Roman" w:hAnsi="Times New Roman" w:cs="Times New Roman"/>
            <w:sz w:val="22"/>
            <w:szCs w:val="22"/>
          </w:rPr>
          <w:t>https://op.europa.eu/pl/publication-detail/-/publication/567809be-e656-11e3-8cd4-01aa75ed71a1</w:t>
        </w:r>
      </w:hyperlink>
      <w:r w:rsidRPr="008036A9">
        <w:rPr>
          <w:rFonts w:ascii="Times New Roman" w:hAnsi="Times New Roman" w:cs="Times New Roman"/>
          <w:sz w:val="22"/>
          <w:szCs w:val="22"/>
        </w:rPr>
        <w:t xml:space="preserve"> (dostęp 28.02.2020)</w:t>
      </w:r>
    </w:p>
    <w:p w14:paraId="4231B9B7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036A9">
        <w:rPr>
          <w:rFonts w:ascii="Times New Roman" w:hAnsi="Times New Roman"/>
          <w:sz w:val="22"/>
          <w:szCs w:val="22"/>
          <w:lang w:val="en-GB"/>
        </w:rPr>
        <w:t>Staszkiewicz</w:t>
      </w:r>
      <w:proofErr w:type="spellEnd"/>
      <w:r w:rsidRPr="008036A9">
        <w:rPr>
          <w:rFonts w:ascii="Times New Roman" w:hAnsi="Times New Roman"/>
          <w:sz w:val="22"/>
          <w:szCs w:val="22"/>
          <w:lang w:val="en-GB"/>
        </w:rPr>
        <w:t xml:space="preserve"> P. (2017), </w:t>
      </w:r>
      <w:r w:rsidRPr="008036A9">
        <w:rPr>
          <w:rFonts w:ascii="Times New Roman" w:hAnsi="Times New Roman"/>
          <w:i/>
          <w:iCs/>
          <w:sz w:val="22"/>
          <w:szCs w:val="22"/>
          <w:lang w:val="en-GB"/>
        </w:rPr>
        <w:t xml:space="preserve">Quo </w:t>
      </w:r>
      <w:proofErr w:type="spellStart"/>
      <w:r w:rsidRPr="008036A9">
        <w:rPr>
          <w:rFonts w:ascii="Times New Roman" w:hAnsi="Times New Roman"/>
          <w:i/>
          <w:iCs/>
          <w:sz w:val="22"/>
          <w:szCs w:val="22"/>
          <w:lang w:val="en-GB"/>
        </w:rPr>
        <w:t>vadis</w:t>
      </w:r>
      <w:proofErr w:type="spellEnd"/>
      <w:r w:rsidRPr="008036A9">
        <w:rPr>
          <w:rFonts w:ascii="Times New Roman" w:hAnsi="Times New Roman"/>
          <w:i/>
          <w:iCs/>
          <w:sz w:val="22"/>
          <w:szCs w:val="22"/>
          <w:lang w:val="en-GB"/>
        </w:rPr>
        <w:t xml:space="preserve">, auditor? </w:t>
      </w:r>
      <w:r w:rsidRPr="008036A9">
        <w:rPr>
          <w:rFonts w:ascii="Times New Roman" w:hAnsi="Times New Roman"/>
          <w:i/>
          <w:iCs/>
          <w:sz w:val="22"/>
          <w:szCs w:val="22"/>
        </w:rPr>
        <w:t xml:space="preserve">Synteza badań nad rewizją finansową w polskiej domenie publicznej, SKwP, </w:t>
      </w:r>
      <w:r w:rsidRPr="008036A9">
        <w:rPr>
          <w:rFonts w:ascii="Times New Roman" w:hAnsi="Times New Roman"/>
          <w:sz w:val="22"/>
          <w:szCs w:val="22"/>
        </w:rPr>
        <w:t>Zeszyty Teoretyczne Rachunkowości, tom 95 (151), 2017, s. 82</w:t>
      </w:r>
    </w:p>
    <w:p w14:paraId="08AE89A2" w14:textId="77777777" w:rsidR="004E6DED" w:rsidRPr="008036A9" w:rsidRDefault="004E6DED" w:rsidP="004E6DE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40347484"/>
      <w:r w:rsidRPr="008036A9">
        <w:rPr>
          <w:rFonts w:ascii="Times New Roman" w:hAnsi="Times New Roman" w:cs="Times New Roman"/>
          <w:sz w:val="22"/>
          <w:szCs w:val="22"/>
        </w:rPr>
        <w:t xml:space="preserve">Uchwała Nr 2783/52/2015 Krajowej Rady Biegłych Rewidentów z 10 lutego 2015 r. w sprawie krajowych standardów rewizji finansowej, </w:t>
      </w:r>
      <w:hyperlink r:id="rId25" w:history="1">
        <w:r w:rsidRPr="008036A9">
          <w:rPr>
            <w:rStyle w:val="Hipercze"/>
            <w:rFonts w:ascii="Times New Roman" w:hAnsi="Times New Roman" w:cs="Times New Roman"/>
            <w:sz w:val="22"/>
            <w:szCs w:val="22"/>
          </w:rPr>
          <w:t>https://www.pibr.org.pl/assets/file/519,KRBR-uchwala-2783-52-2015.pdf</w:t>
        </w:r>
      </w:hyperlink>
      <w:r w:rsidRPr="008036A9">
        <w:rPr>
          <w:rFonts w:ascii="Times New Roman" w:hAnsi="Times New Roman" w:cs="Times New Roman"/>
          <w:sz w:val="22"/>
          <w:szCs w:val="22"/>
        </w:rPr>
        <w:t xml:space="preserve"> (dostęp 29.02.2020)</w:t>
      </w:r>
    </w:p>
    <w:bookmarkEnd w:id="2"/>
    <w:p w14:paraId="2AE2D1C3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Uchwała Nr 2784/52/2015 Krajowej Rady Biegłych Rewidentów z dnia 10 lutego 2015 r. w sprawie zasad wewnętrznej kontroli jakości w podmiocie uprawnionym do badania sprawozdań finansowych, </w:t>
      </w:r>
      <w:hyperlink r:id="rId26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https://www.pibr.org.pl/assets/file/365,KRBR-uchwala-2784-52-2015.pdf</w:t>
        </w:r>
      </w:hyperlink>
      <w:r w:rsidRPr="008036A9">
        <w:rPr>
          <w:rFonts w:ascii="Times New Roman" w:hAnsi="Times New Roman"/>
          <w:sz w:val="22"/>
          <w:szCs w:val="22"/>
        </w:rPr>
        <w:t xml:space="preserve"> , (dostęp 28.02.2020)</w:t>
      </w:r>
    </w:p>
    <w:p w14:paraId="5A95EB5F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Ustawa o biegłych rewidentach z dnia 19.07.2019 r. o zmianie ustawy o biegłych rewidentach, firmach audytorskich oraz nadzorze publicznym oraz niektórych innych ustaw,  (Dz. U z 2019 r. poz. 1571), </w:t>
      </w:r>
      <w:hyperlink r:id="rId27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http://prawo.sejm.gov.pl/isap.nsf/DocDetails.xsp?id=WDU20190001571</w:t>
        </w:r>
      </w:hyperlink>
      <w:r w:rsidRPr="008036A9">
        <w:rPr>
          <w:rFonts w:ascii="Times New Roman" w:hAnsi="Times New Roman"/>
          <w:sz w:val="22"/>
          <w:szCs w:val="22"/>
        </w:rPr>
        <w:t xml:space="preserve"> , (dostęp 28.02.2020)</w:t>
      </w:r>
    </w:p>
    <w:p w14:paraId="44738AEE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Ustawa z dnia 11.05.2017 r. o biegłych rewidentach, firmach audytorskich oraz nadzorze publicznym opublikowana w Dz. U poz. 1089, </w:t>
      </w:r>
      <w:hyperlink r:id="rId28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http://prawo.sejm.gov.pl/isap.nsf/download.xsp/WDU20170001089/T/D20171089L.pdf</w:t>
        </w:r>
      </w:hyperlink>
      <w:r w:rsidRPr="008036A9">
        <w:rPr>
          <w:rFonts w:ascii="Times New Roman" w:hAnsi="Times New Roman"/>
          <w:sz w:val="22"/>
          <w:szCs w:val="22"/>
        </w:rPr>
        <w:t>, (dostęp 12.02.2020)</w:t>
      </w:r>
    </w:p>
    <w:p w14:paraId="1FA5AA20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>Ustawa z dnia 13.10.1994 r. o biegłych rewidentach i ich samorządzie, Dz. U. nr 121 poz. 592</w:t>
      </w:r>
    </w:p>
    <w:p w14:paraId="317C430D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>Ustawa z dnia 19.10.1991 r. o badaniu i ogłaszaniu sprawozdań finansowych oraz biegłych rewidentach i ich samorządzie, Dz. U. Nr 111 poz. 480</w:t>
      </w:r>
    </w:p>
    <w:p w14:paraId="072510C2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>Ustawa z dnia 21.09.2000 r. o biegłych rewidentach i ich samorządzie, Dz. U. nr 89 poz. 992</w:t>
      </w:r>
    </w:p>
    <w:p w14:paraId="34009D72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Ustawa z dnia 29 września 1994 r. o rachunkowości, tekst jednolity Dz.U. z 2019 poz. 351 z póz. zm. </w:t>
      </w:r>
      <w:hyperlink r:id="rId29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http://prawo.sejm.gov.pl/isap.nsf/download.xsp/WDU19941210591/U/D19940591Lj.pdf</w:t>
        </w:r>
      </w:hyperlink>
      <w:r w:rsidRPr="008036A9">
        <w:rPr>
          <w:rFonts w:ascii="Times New Roman" w:hAnsi="Times New Roman"/>
          <w:sz w:val="22"/>
          <w:szCs w:val="22"/>
        </w:rPr>
        <w:t xml:space="preserve">, (dostęp 28.02.2020) </w:t>
      </w:r>
    </w:p>
    <w:p w14:paraId="16A4F662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Ustawa z dnia 6 marca 2018 r. Prawo przedsiębiorców, Dz. U. 2018 poz. 646 z póz. zm. </w:t>
      </w:r>
      <w:hyperlink r:id="rId30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http://prawo.sejm.gov.pl/isap.nsf/download.xsp/WDU20180000646/U/D20180646Lj.pdf</w:t>
        </w:r>
      </w:hyperlink>
      <w:r w:rsidRPr="008036A9">
        <w:rPr>
          <w:rFonts w:ascii="Times New Roman" w:hAnsi="Times New Roman"/>
          <w:sz w:val="22"/>
          <w:szCs w:val="22"/>
        </w:rPr>
        <w:t xml:space="preserve"> , (dostęp 28.02.2020 r.)</w:t>
      </w:r>
    </w:p>
    <w:p w14:paraId="518CCA84" w14:textId="77777777" w:rsidR="004E6DED" w:rsidRPr="008036A9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>Ustawa z dnia 7.05.2009 r. o biegłych rewidentach i ich samorządzie, podmiotach uprawnionych do badania sprawozdań finansowych oraz o nadzorze publicznym, Dz.U. nr 77 poz. 649</w:t>
      </w:r>
    </w:p>
    <w:p w14:paraId="21421DA5" w14:textId="77777777" w:rsidR="004E6DED" w:rsidRPr="004E6DED" w:rsidRDefault="004E6DED" w:rsidP="004E6DED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8036A9">
        <w:rPr>
          <w:rFonts w:ascii="Times New Roman" w:hAnsi="Times New Roman"/>
          <w:sz w:val="22"/>
          <w:szCs w:val="22"/>
        </w:rPr>
        <w:t xml:space="preserve">Zarzycki P. (2018), </w:t>
      </w:r>
      <w:r w:rsidRPr="008036A9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>Duże przetasowania na krajowym rynku audytu</w:t>
      </w:r>
      <w:r w:rsidRPr="008036A9">
        <w:rPr>
          <w:rFonts w:ascii="Times New Roman" w:hAnsi="Times New Roman"/>
          <w:sz w:val="22"/>
          <w:szCs w:val="22"/>
        </w:rPr>
        <w:t xml:space="preserve">, Parkiet, Źródło: </w:t>
      </w:r>
      <w:hyperlink r:id="rId31" w:history="1">
        <w:r w:rsidRPr="008036A9">
          <w:rPr>
            <w:rStyle w:val="Hipercze"/>
            <w:rFonts w:ascii="Times New Roman" w:hAnsi="Times New Roman"/>
            <w:sz w:val="22"/>
            <w:szCs w:val="22"/>
          </w:rPr>
          <w:t>https://www.parkiet.com/Firmy/312089988-Duze-przetasowania-na-krajowym-rynku-audytu.html</w:t>
        </w:r>
      </w:hyperlink>
      <w:r w:rsidRPr="008036A9">
        <w:rPr>
          <w:rFonts w:ascii="Times New Roman" w:hAnsi="Times New Roman"/>
          <w:sz w:val="22"/>
          <w:szCs w:val="22"/>
        </w:rPr>
        <w:t xml:space="preserve"> (dostęp 16.02.2020)</w:t>
      </w:r>
    </w:p>
    <w:p w14:paraId="007807CE" w14:textId="77777777" w:rsidR="002D56E1" w:rsidRPr="00C67DBD" w:rsidRDefault="002D56E1" w:rsidP="00C67DBD">
      <w:pPr>
        <w:pStyle w:val="CM4"/>
        <w:spacing w:before="60" w:after="60" w:line="360" w:lineRule="auto"/>
        <w:ind w:firstLine="708"/>
        <w:jc w:val="both"/>
        <w:rPr>
          <w:color w:val="000000"/>
        </w:rPr>
      </w:pPr>
    </w:p>
    <w:p w14:paraId="17D01A8B" w14:textId="77777777" w:rsidR="002D56E1" w:rsidRPr="002D56E1" w:rsidRDefault="002D56E1" w:rsidP="002D56E1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56E1" w:rsidRPr="002D56E1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E7456" w14:textId="77777777" w:rsidR="009B0774" w:rsidRDefault="009B0774" w:rsidP="0039117F">
      <w:r>
        <w:separator/>
      </w:r>
    </w:p>
  </w:endnote>
  <w:endnote w:type="continuationSeparator" w:id="0">
    <w:p w14:paraId="0740A183" w14:textId="77777777" w:rsidR="009B0774" w:rsidRDefault="009B0774" w:rsidP="003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aramond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1730741"/>
      <w:docPartObj>
        <w:docPartGallery w:val="Page Numbers (Bottom of Page)"/>
        <w:docPartUnique/>
      </w:docPartObj>
    </w:sdtPr>
    <w:sdtEndPr/>
    <w:sdtContent>
      <w:p w14:paraId="003DDBFB" w14:textId="77777777" w:rsidR="00B6436A" w:rsidRDefault="00B643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CE92C" w14:textId="77777777" w:rsidR="00B6436A" w:rsidRDefault="00B64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21BDE" w14:textId="77777777" w:rsidR="009B0774" w:rsidRDefault="009B0774" w:rsidP="0039117F">
      <w:r>
        <w:separator/>
      </w:r>
    </w:p>
  </w:footnote>
  <w:footnote w:type="continuationSeparator" w:id="0">
    <w:p w14:paraId="0458F0A2" w14:textId="77777777" w:rsidR="009B0774" w:rsidRDefault="009B0774" w:rsidP="0039117F">
      <w:r>
        <w:continuationSeparator/>
      </w:r>
    </w:p>
  </w:footnote>
  <w:footnote w:id="1">
    <w:p w14:paraId="2F1852D3" w14:textId="77777777" w:rsidR="00831B85" w:rsidRDefault="00831B85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* D</w:t>
      </w:r>
      <w:r w:rsidRPr="00E460CC">
        <w:rPr>
          <w:rFonts w:ascii="Times New Roman" w:hAnsi="Times New Roman"/>
        </w:rPr>
        <w:t xml:space="preserve">r hab. Joanna </w:t>
      </w:r>
      <w:proofErr w:type="spellStart"/>
      <w:r w:rsidRPr="00E460CC">
        <w:rPr>
          <w:rFonts w:ascii="Times New Roman" w:hAnsi="Times New Roman"/>
        </w:rPr>
        <w:t>Wielgórska</w:t>
      </w:r>
      <w:proofErr w:type="spellEnd"/>
      <w:r w:rsidRPr="00E460CC">
        <w:rPr>
          <w:rFonts w:ascii="Times New Roman" w:hAnsi="Times New Roman"/>
        </w:rPr>
        <w:t>-Leszczyńska</w:t>
      </w:r>
      <w:r>
        <w:rPr>
          <w:rFonts w:ascii="Times New Roman" w:hAnsi="Times New Roman"/>
        </w:rPr>
        <w:t>,</w:t>
      </w:r>
      <w:r w:rsidRPr="00E460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prof. SGH, </w:t>
      </w:r>
      <w:r w:rsidRPr="00E460CC">
        <w:rPr>
          <w:rFonts w:ascii="Times New Roman" w:hAnsi="Times New Roman"/>
        </w:rPr>
        <w:t xml:space="preserve">Szkoła Główna Handlowa w Warszawie, Instytut Rachunkowości, </w:t>
      </w:r>
      <w:r>
        <w:rPr>
          <w:rFonts w:ascii="Times New Roman" w:hAnsi="Times New Roman"/>
        </w:rPr>
        <w:t>e-</w:t>
      </w:r>
      <w:r w:rsidRPr="00E460CC">
        <w:rPr>
          <w:rFonts w:ascii="Times New Roman" w:hAnsi="Times New Roman"/>
        </w:rPr>
        <w:t xml:space="preserve">mail: </w:t>
      </w:r>
      <w:hyperlink r:id="rId1" w:history="1">
        <w:r w:rsidRPr="00F35834">
          <w:rPr>
            <w:rStyle w:val="Hipercze"/>
            <w:rFonts w:ascii="Times New Roman" w:hAnsi="Times New Roman"/>
          </w:rPr>
          <w:t>jwielg@sgh.waw.pl</w:t>
        </w:r>
      </w:hyperlink>
      <w:r>
        <w:rPr>
          <w:rFonts w:ascii="Times New Roman" w:hAnsi="Times New Roman"/>
        </w:rPr>
        <w:t>.</w:t>
      </w:r>
    </w:p>
    <w:p w14:paraId="532E298A" w14:textId="77777777" w:rsidR="00831B85" w:rsidRDefault="00831B85">
      <w:pPr>
        <w:pStyle w:val="Tekstprzypisudolnego"/>
      </w:pPr>
      <w:r>
        <w:rPr>
          <w:rFonts w:ascii="Times New Roman" w:hAnsi="Times New Roman"/>
        </w:rPr>
        <w:t xml:space="preserve">** </w:t>
      </w:r>
      <w:r w:rsidR="005E6E0B">
        <w:rPr>
          <w:rFonts w:ascii="Times New Roman" w:hAnsi="Times New Roman"/>
        </w:rPr>
        <w:t xml:space="preserve">mgr Justyna Beata Zakrzewska, Akademia Leona Koźmińskiego, e-mail: </w:t>
      </w:r>
      <w:hyperlink r:id="rId2" w:history="1">
        <w:r w:rsidR="005E6E0B" w:rsidRPr="0083778F">
          <w:rPr>
            <w:rStyle w:val="Hipercze"/>
            <w:rFonts w:ascii="Times New Roman" w:hAnsi="Times New Roman"/>
          </w:rPr>
          <w:t>bzakrzewska@account-pl.eu</w:t>
        </w:r>
      </w:hyperlink>
    </w:p>
  </w:footnote>
  <w:footnote w:id="2">
    <w:p w14:paraId="2CFC7883" w14:textId="77777777" w:rsidR="00B6436A" w:rsidRPr="00035B09" w:rsidRDefault="00B6436A">
      <w:pPr>
        <w:pStyle w:val="Tekstprzypisudolnego"/>
        <w:rPr>
          <w:rFonts w:ascii="Times New Roman" w:hAnsi="Times New Roman"/>
        </w:rPr>
      </w:pPr>
      <w:r w:rsidRPr="00035B09">
        <w:rPr>
          <w:rStyle w:val="Odwoanieprzypisudolnego"/>
          <w:rFonts w:ascii="Times New Roman" w:hAnsi="Times New Roman"/>
          <w:highlight w:val="yellow"/>
        </w:rPr>
        <w:footnoteRef/>
      </w:r>
      <w:r w:rsidRPr="00035B09">
        <w:rPr>
          <w:rFonts w:ascii="Times New Roman" w:hAnsi="Times New Roman"/>
        </w:rPr>
        <w:t xml:space="preserve"> </w:t>
      </w:r>
      <w:r w:rsidRPr="00035B09">
        <w:rPr>
          <w:rFonts w:ascii="Times New Roman" w:hAnsi="Times New Roman"/>
          <w:color w:val="1B1B1B"/>
          <w:shd w:val="clear" w:color="auto" w:fill="FFFFFF"/>
        </w:rPr>
        <w:t xml:space="preserve">definicja JZP zawartą w art. 2 pkt 9 ustawy z dnia 11 maja 2017 r. o biegłych rewidentach, firmach audytorskich oraz nadzorze publicznym (Dz. U. poz. 1089 z </w:t>
      </w:r>
      <w:proofErr w:type="spellStart"/>
      <w:r w:rsidRPr="00035B09">
        <w:rPr>
          <w:rFonts w:ascii="Times New Roman" w:hAnsi="Times New Roman"/>
          <w:color w:val="1B1B1B"/>
          <w:shd w:val="clear" w:color="auto" w:fill="FFFFFF"/>
        </w:rPr>
        <w:t>późn</w:t>
      </w:r>
      <w:proofErr w:type="spellEnd"/>
      <w:r w:rsidRPr="00035B09">
        <w:rPr>
          <w:rFonts w:ascii="Times New Roman" w:hAnsi="Times New Roman"/>
          <w:color w:val="1B1B1B"/>
          <w:shd w:val="clear" w:color="auto" w:fill="FFFFFF"/>
        </w:rPr>
        <w:t>. zm.)</w:t>
      </w:r>
    </w:p>
  </w:footnote>
  <w:footnote w:id="3">
    <w:p w14:paraId="6CA80A36" w14:textId="77777777" w:rsidR="00B6436A" w:rsidRPr="00697D36" w:rsidRDefault="00B6436A" w:rsidP="00697D36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97D36">
        <w:rPr>
          <w:rFonts w:ascii="Times New Roman" w:hAnsi="Times New Roman"/>
        </w:rPr>
        <w:t xml:space="preserve">Zgodnie z art.  19 </w:t>
      </w:r>
      <w:proofErr w:type="spellStart"/>
      <w:r w:rsidRPr="00697D36">
        <w:rPr>
          <w:rFonts w:ascii="Times New Roman" w:hAnsi="Times New Roman"/>
        </w:rPr>
        <w:t>UoB</w:t>
      </w:r>
      <w:proofErr w:type="spellEnd"/>
      <w:r w:rsidRPr="00697D36">
        <w:rPr>
          <w:rFonts w:ascii="Times New Roman" w:hAnsi="Times New Roman"/>
        </w:rPr>
        <w:t>, biegły rewident, który osiągnął wiek emerytalny i na swój wniosek wystąpił z samorządu biegłych rewidentów, może posługiwać się tytułem „biegły rewident senior”. Biegły rewident senior nie jest wpisany do rejestru biegłych rewidentów i nie może wykonywać czynności rewizji finansowej zastrzeżonych dla biegłych rewidentów</w:t>
      </w:r>
      <w:r>
        <w:rPr>
          <w:rFonts w:ascii="Times New Roman" w:hAnsi="Times New Roman"/>
        </w:rPr>
        <w:t>.</w:t>
      </w:r>
    </w:p>
  </w:footnote>
  <w:footnote w:id="4">
    <w:p w14:paraId="059CA48B" w14:textId="77777777" w:rsidR="00B6436A" w:rsidRPr="00BB1228" w:rsidRDefault="00B6436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B1228">
        <w:rPr>
          <w:rFonts w:ascii="Times New Roman" w:hAnsi="Times New Roman"/>
        </w:rPr>
        <w:t>Od 1 stycznia 2020 r. opłata z tytułu nadzoru pobierana jest od wszystkich usług atestacyjnych. Do 31.12.2019 r. była pobierana wyłącznie od badania sprawozdań finansowych.</w:t>
      </w:r>
    </w:p>
  </w:footnote>
  <w:footnote w:id="5">
    <w:p w14:paraId="656123C3" w14:textId="77777777" w:rsidR="00423DEF" w:rsidRPr="00423DEF" w:rsidRDefault="00423DEF" w:rsidP="002B3C78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="002B3C78" w:rsidRPr="002B3C78">
        <w:rPr>
          <w:rFonts w:ascii="Times New Roman" w:hAnsi="Times New Roman"/>
        </w:rPr>
        <w:t>Zgodnie z art. 14 ust 1 ustawy o obrocie instrumentami finansowymi, r</w:t>
      </w:r>
      <w:r w:rsidR="002B3C78" w:rsidRPr="002B3C78">
        <w:rPr>
          <w:rFonts w:ascii="Times New Roman" w:hAnsi="Times New Roman"/>
          <w:shd w:val="clear" w:color="auto" w:fill="FFFFFF"/>
        </w:rPr>
        <w:t>ynkiem regulowanym jest działający w sposób stały wielostronny system zawierania transakcji, których przedmiotem są instrumenty finansowe dopuszczone do obrotu w tym systemie, zapewniający inwestorom powszechny i równy dostęp do informacji rynkowej w tym samym czasie przy kojarzeniu ofert nabycia i zbycia instrumentów finansowych oraz jednakowe warunki nabywania i zbywania tych instrumentów, zorganizowany i podlegający nadzorowi właściwego organu na zasadach określonych w przepisach ustawy, jak również uznany przez państwo członkowskie za spełniający te warunki i wskazany Komisji Europejskiej jako rynek regulowany</w:t>
      </w:r>
      <w:r w:rsidR="002B3C78">
        <w:rPr>
          <w:rFonts w:ascii="Times New Roman" w:hAnsi="Times New Roman"/>
          <w:shd w:val="clear" w:color="auto" w:fill="FFFFFF"/>
        </w:rPr>
        <w:t xml:space="preserve">, tekst jednolity Dz. U. z 2020 r. poz. 89, </w:t>
      </w:r>
      <w:hyperlink r:id="rId3" w:history="1">
        <w:r w:rsidR="002B3C78" w:rsidRPr="0036552B">
          <w:rPr>
            <w:rStyle w:val="Hipercze"/>
            <w:rFonts w:ascii="Times New Roman" w:hAnsi="Times New Roman"/>
            <w:shd w:val="clear" w:color="auto" w:fill="FFFFFF"/>
          </w:rPr>
          <w:t>http://prawo.sejm.gov.pl/isap.nsf/download.xsp/WDU20051831538/U/D20051538Lj.pdf</w:t>
        </w:r>
      </w:hyperlink>
      <w:r w:rsidR="002B3C78">
        <w:rPr>
          <w:rFonts w:ascii="Times New Roman" w:hAnsi="Times New Roman"/>
          <w:shd w:val="clear" w:color="auto" w:fill="FFFFFF"/>
        </w:rPr>
        <w:t xml:space="preserve"> , </w:t>
      </w:r>
      <w:r>
        <w:rPr>
          <w:rFonts w:ascii="Times New Roman" w:hAnsi="Times New Roman"/>
          <w:shd w:val="clear" w:color="auto" w:fill="FFFFFF"/>
        </w:rPr>
        <w:t>(dostęp 28.02.2020 r.)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D"/>
    <w:multiLevelType w:val="multilevel"/>
    <w:tmpl w:val="0000003D"/>
    <w:name w:val="WW8Num6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3F"/>
    <w:multiLevelType w:val="singleLevel"/>
    <w:tmpl w:val="0000003F"/>
    <w:name w:val="WW8Num63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00B339A"/>
    <w:multiLevelType w:val="hybridMultilevel"/>
    <w:tmpl w:val="AC0833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46DC3"/>
    <w:multiLevelType w:val="hybridMultilevel"/>
    <w:tmpl w:val="4134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941"/>
    <w:multiLevelType w:val="hybridMultilevel"/>
    <w:tmpl w:val="1930C8CC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165E5268"/>
    <w:multiLevelType w:val="hybridMultilevel"/>
    <w:tmpl w:val="DC4C0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65B08"/>
    <w:multiLevelType w:val="hybridMultilevel"/>
    <w:tmpl w:val="14B84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2F8A"/>
    <w:multiLevelType w:val="hybridMultilevel"/>
    <w:tmpl w:val="1E0AAD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2006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0445B1"/>
    <w:multiLevelType w:val="hybridMultilevel"/>
    <w:tmpl w:val="ACD4E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44B9"/>
    <w:multiLevelType w:val="hybridMultilevel"/>
    <w:tmpl w:val="DC4C0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550F"/>
    <w:multiLevelType w:val="hybridMultilevel"/>
    <w:tmpl w:val="B57E3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7403F2"/>
    <w:multiLevelType w:val="hybridMultilevel"/>
    <w:tmpl w:val="EFECE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A504E"/>
    <w:multiLevelType w:val="hybridMultilevel"/>
    <w:tmpl w:val="F2DEC5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F011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4863E1"/>
    <w:multiLevelType w:val="hybridMultilevel"/>
    <w:tmpl w:val="7EA64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8088C"/>
    <w:multiLevelType w:val="hybridMultilevel"/>
    <w:tmpl w:val="8AAA2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1862"/>
    <w:multiLevelType w:val="hybridMultilevel"/>
    <w:tmpl w:val="366AE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62550"/>
    <w:multiLevelType w:val="hybridMultilevel"/>
    <w:tmpl w:val="4918AD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CAA60EA"/>
    <w:multiLevelType w:val="hybridMultilevel"/>
    <w:tmpl w:val="4996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6263"/>
    <w:multiLevelType w:val="multilevel"/>
    <w:tmpl w:val="5C08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16A44"/>
    <w:multiLevelType w:val="hybridMultilevel"/>
    <w:tmpl w:val="E694432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D944120"/>
    <w:multiLevelType w:val="hybridMultilevel"/>
    <w:tmpl w:val="69240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011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2D71C8A"/>
    <w:multiLevelType w:val="hybridMultilevel"/>
    <w:tmpl w:val="159443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9B04F6"/>
    <w:multiLevelType w:val="hybridMultilevel"/>
    <w:tmpl w:val="762273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B26AA"/>
    <w:multiLevelType w:val="hybridMultilevel"/>
    <w:tmpl w:val="0944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46EA5"/>
    <w:multiLevelType w:val="hybridMultilevel"/>
    <w:tmpl w:val="FA5A08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60B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F46736"/>
    <w:multiLevelType w:val="hybridMultilevel"/>
    <w:tmpl w:val="8FC0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5"/>
  </w:num>
  <w:num w:numId="4">
    <w:abstractNumId w:val="16"/>
  </w:num>
  <w:num w:numId="5">
    <w:abstractNumId w:val="3"/>
  </w:num>
  <w:num w:numId="6">
    <w:abstractNumId w:val="20"/>
  </w:num>
  <w:num w:numId="7">
    <w:abstractNumId w:val="24"/>
  </w:num>
  <w:num w:numId="8">
    <w:abstractNumId w:val="11"/>
  </w:num>
  <w:num w:numId="9">
    <w:abstractNumId w:val="27"/>
  </w:num>
  <w:num w:numId="10">
    <w:abstractNumId w:val="17"/>
  </w:num>
  <w:num w:numId="11">
    <w:abstractNumId w:val="0"/>
  </w:num>
  <w:num w:numId="12">
    <w:abstractNumId w:val="1"/>
  </w:num>
  <w:num w:numId="13">
    <w:abstractNumId w:val="7"/>
  </w:num>
  <w:num w:numId="14">
    <w:abstractNumId w:val="6"/>
  </w:num>
  <w:num w:numId="15">
    <w:abstractNumId w:val="26"/>
  </w:num>
  <w:num w:numId="16">
    <w:abstractNumId w:val="25"/>
  </w:num>
  <w:num w:numId="17">
    <w:abstractNumId w:val="21"/>
  </w:num>
  <w:num w:numId="18">
    <w:abstractNumId w:val="15"/>
  </w:num>
  <w:num w:numId="19">
    <w:abstractNumId w:val="29"/>
  </w:num>
  <w:num w:numId="20">
    <w:abstractNumId w:val="10"/>
  </w:num>
  <w:num w:numId="21">
    <w:abstractNumId w:val="18"/>
  </w:num>
  <w:num w:numId="22">
    <w:abstractNumId w:val="2"/>
  </w:num>
  <w:num w:numId="23">
    <w:abstractNumId w:val="28"/>
  </w:num>
  <w:num w:numId="24">
    <w:abstractNumId w:val="9"/>
  </w:num>
  <w:num w:numId="25">
    <w:abstractNumId w:val="13"/>
  </w:num>
  <w:num w:numId="26">
    <w:abstractNumId w:val="8"/>
  </w:num>
  <w:num w:numId="27">
    <w:abstractNumId w:val="4"/>
  </w:num>
  <w:num w:numId="28">
    <w:abstractNumId w:val="12"/>
  </w:num>
  <w:num w:numId="29">
    <w:abstractNumId w:val="22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BB"/>
    <w:rsid w:val="0001214F"/>
    <w:rsid w:val="00016778"/>
    <w:rsid w:val="00035B09"/>
    <w:rsid w:val="00047488"/>
    <w:rsid w:val="0007732B"/>
    <w:rsid w:val="000B17F0"/>
    <w:rsid w:val="000D0FAD"/>
    <w:rsid w:val="000D314C"/>
    <w:rsid w:val="000D50E8"/>
    <w:rsid w:val="00110D49"/>
    <w:rsid w:val="001142B5"/>
    <w:rsid w:val="00126912"/>
    <w:rsid w:val="00132789"/>
    <w:rsid w:val="001430F5"/>
    <w:rsid w:val="001655BB"/>
    <w:rsid w:val="001767B6"/>
    <w:rsid w:val="00196391"/>
    <w:rsid w:val="001A4F8F"/>
    <w:rsid w:val="001B01F7"/>
    <w:rsid w:val="001B4E4A"/>
    <w:rsid w:val="001C17A9"/>
    <w:rsid w:val="001C3706"/>
    <w:rsid w:val="001D6D42"/>
    <w:rsid w:val="001F3A8B"/>
    <w:rsid w:val="00214D5C"/>
    <w:rsid w:val="0022460A"/>
    <w:rsid w:val="0022524D"/>
    <w:rsid w:val="002312B3"/>
    <w:rsid w:val="00234024"/>
    <w:rsid w:val="0023419C"/>
    <w:rsid w:val="002447E6"/>
    <w:rsid w:val="00262088"/>
    <w:rsid w:val="00270368"/>
    <w:rsid w:val="00275282"/>
    <w:rsid w:val="002763AF"/>
    <w:rsid w:val="0029250D"/>
    <w:rsid w:val="002B3C78"/>
    <w:rsid w:val="002C0AB7"/>
    <w:rsid w:val="002D40D7"/>
    <w:rsid w:val="002D56E1"/>
    <w:rsid w:val="002E42CD"/>
    <w:rsid w:val="002F0218"/>
    <w:rsid w:val="002F65F4"/>
    <w:rsid w:val="00313C60"/>
    <w:rsid w:val="00330085"/>
    <w:rsid w:val="003667E0"/>
    <w:rsid w:val="0037408A"/>
    <w:rsid w:val="00382FCE"/>
    <w:rsid w:val="0038771E"/>
    <w:rsid w:val="0039117F"/>
    <w:rsid w:val="003A6BD7"/>
    <w:rsid w:val="003A7500"/>
    <w:rsid w:val="003C1059"/>
    <w:rsid w:val="003C64FE"/>
    <w:rsid w:val="003D43D8"/>
    <w:rsid w:val="003E29EB"/>
    <w:rsid w:val="003F11AB"/>
    <w:rsid w:val="003F2F1E"/>
    <w:rsid w:val="003F5600"/>
    <w:rsid w:val="004025BE"/>
    <w:rsid w:val="00410472"/>
    <w:rsid w:val="00414AF6"/>
    <w:rsid w:val="00423DEF"/>
    <w:rsid w:val="00437E78"/>
    <w:rsid w:val="00444A16"/>
    <w:rsid w:val="00455F33"/>
    <w:rsid w:val="004625A2"/>
    <w:rsid w:val="00472FC2"/>
    <w:rsid w:val="004743C3"/>
    <w:rsid w:val="004873F5"/>
    <w:rsid w:val="00491832"/>
    <w:rsid w:val="004C7B2F"/>
    <w:rsid w:val="004D3A31"/>
    <w:rsid w:val="004E6DED"/>
    <w:rsid w:val="00525728"/>
    <w:rsid w:val="005515A6"/>
    <w:rsid w:val="005557D1"/>
    <w:rsid w:val="005736A7"/>
    <w:rsid w:val="00584D01"/>
    <w:rsid w:val="00586A4E"/>
    <w:rsid w:val="00587E97"/>
    <w:rsid w:val="0059668C"/>
    <w:rsid w:val="005B12BC"/>
    <w:rsid w:val="005D2015"/>
    <w:rsid w:val="005D3862"/>
    <w:rsid w:val="005D50E6"/>
    <w:rsid w:val="005E13CF"/>
    <w:rsid w:val="005E3BE9"/>
    <w:rsid w:val="005E67E9"/>
    <w:rsid w:val="005E6E0B"/>
    <w:rsid w:val="005F21C8"/>
    <w:rsid w:val="00624293"/>
    <w:rsid w:val="006247DE"/>
    <w:rsid w:val="006278BA"/>
    <w:rsid w:val="00632B7C"/>
    <w:rsid w:val="00636826"/>
    <w:rsid w:val="00652C87"/>
    <w:rsid w:val="00654E7F"/>
    <w:rsid w:val="00656E15"/>
    <w:rsid w:val="00657BF8"/>
    <w:rsid w:val="0066053E"/>
    <w:rsid w:val="00662C66"/>
    <w:rsid w:val="006674A4"/>
    <w:rsid w:val="006721DD"/>
    <w:rsid w:val="006900EF"/>
    <w:rsid w:val="0069338E"/>
    <w:rsid w:val="0069513E"/>
    <w:rsid w:val="00697D36"/>
    <w:rsid w:val="006A75FE"/>
    <w:rsid w:val="006D033F"/>
    <w:rsid w:val="006E0304"/>
    <w:rsid w:val="006E7EE9"/>
    <w:rsid w:val="00704886"/>
    <w:rsid w:val="0071040B"/>
    <w:rsid w:val="00713C5A"/>
    <w:rsid w:val="00734FC9"/>
    <w:rsid w:val="00741D09"/>
    <w:rsid w:val="007743AB"/>
    <w:rsid w:val="00783657"/>
    <w:rsid w:val="007901BC"/>
    <w:rsid w:val="00794BE3"/>
    <w:rsid w:val="007B3689"/>
    <w:rsid w:val="007B551B"/>
    <w:rsid w:val="007F67E0"/>
    <w:rsid w:val="00801D3D"/>
    <w:rsid w:val="00811FCE"/>
    <w:rsid w:val="00820D6B"/>
    <w:rsid w:val="00824A69"/>
    <w:rsid w:val="00831B85"/>
    <w:rsid w:val="00836DC8"/>
    <w:rsid w:val="00844953"/>
    <w:rsid w:val="008523AF"/>
    <w:rsid w:val="00881242"/>
    <w:rsid w:val="008837D6"/>
    <w:rsid w:val="00886234"/>
    <w:rsid w:val="008E7AB0"/>
    <w:rsid w:val="008F7D8F"/>
    <w:rsid w:val="00910C15"/>
    <w:rsid w:val="009261F0"/>
    <w:rsid w:val="0093287B"/>
    <w:rsid w:val="00941100"/>
    <w:rsid w:val="00955245"/>
    <w:rsid w:val="00956846"/>
    <w:rsid w:val="00986B5A"/>
    <w:rsid w:val="00996A37"/>
    <w:rsid w:val="009A4C9A"/>
    <w:rsid w:val="009B0774"/>
    <w:rsid w:val="009D2077"/>
    <w:rsid w:val="009E6521"/>
    <w:rsid w:val="00A05C3E"/>
    <w:rsid w:val="00A1536D"/>
    <w:rsid w:val="00A276B2"/>
    <w:rsid w:val="00A41A92"/>
    <w:rsid w:val="00A54539"/>
    <w:rsid w:val="00A67470"/>
    <w:rsid w:val="00A76983"/>
    <w:rsid w:val="00A921B9"/>
    <w:rsid w:val="00A935EC"/>
    <w:rsid w:val="00AE419C"/>
    <w:rsid w:val="00AF3649"/>
    <w:rsid w:val="00B11367"/>
    <w:rsid w:val="00B163F2"/>
    <w:rsid w:val="00B317B5"/>
    <w:rsid w:val="00B4493B"/>
    <w:rsid w:val="00B449CF"/>
    <w:rsid w:val="00B6436A"/>
    <w:rsid w:val="00B83082"/>
    <w:rsid w:val="00B84500"/>
    <w:rsid w:val="00B94BF3"/>
    <w:rsid w:val="00B95EB7"/>
    <w:rsid w:val="00BB1228"/>
    <w:rsid w:val="00BC086A"/>
    <w:rsid w:val="00BE74B8"/>
    <w:rsid w:val="00BF7D73"/>
    <w:rsid w:val="00C367CD"/>
    <w:rsid w:val="00C44F34"/>
    <w:rsid w:val="00C67DBD"/>
    <w:rsid w:val="00C7220A"/>
    <w:rsid w:val="00C82E25"/>
    <w:rsid w:val="00CA6178"/>
    <w:rsid w:val="00CB72BF"/>
    <w:rsid w:val="00CC00C4"/>
    <w:rsid w:val="00CC2E61"/>
    <w:rsid w:val="00CC4C94"/>
    <w:rsid w:val="00CD4004"/>
    <w:rsid w:val="00D32E78"/>
    <w:rsid w:val="00D46837"/>
    <w:rsid w:val="00D566EA"/>
    <w:rsid w:val="00D970CF"/>
    <w:rsid w:val="00DC08E4"/>
    <w:rsid w:val="00DC6609"/>
    <w:rsid w:val="00E01956"/>
    <w:rsid w:val="00E2126F"/>
    <w:rsid w:val="00E50C2B"/>
    <w:rsid w:val="00E516C0"/>
    <w:rsid w:val="00E53A96"/>
    <w:rsid w:val="00E57083"/>
    <w:rsid w:val="00E8474F"/>
    <w:rsid w:val="00EA6578"/>
    <w:rsid w:val="00EC0074"/>
    <w:rsid w:val="00ED1BB3"/>
    <w:rsid w:val="00ED54B4"/>
    <w:rsid w:val="00ED6759"/>
    <w:rsid w:val="00EE35B1"/>
    <w:rsid w:val="00EE5FE9"/>
    <w:rsid w:val="00F018BB"/>
    <w:rsid w:val="00F7124D"/>
    <w:rsid w:val="00F94ECF"/>
    <w:rsid w:val="00FC03C2"/>
    <w:rsid w:val="00FD5C8E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6272"/>
  <w15:chartTrackingRefBased/>
  <w15:docId w15:val="{CE3BD064-FF5A-4E72-A5C1-1A023F91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87B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C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C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4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C94"/>
    <w:pPr>
      <w:spacing w:before="240" w:after="60"/>
      <w:outlineLvl w:val="6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link w:val="Teksttreci0"/>
    <w:rsid w:val="00CC4C94"/>
    <w:pPr>
      <w:widowControl w:val="0"/>
      <w:shd w:val="clear" w:color="auto" w:fill="FFFFFF"/>
      <w:spacing w:before="540" w:line="240" w:lineRule="exact"/>
      <w:ind w:hanging="400"/>
      <w:jc w:val="both"/>
    </w:pPr>
  </w:style>
  <w:style w:type="character" w:customStyle="1" w:styleId="Teksttreci0">
    <w:name w:val="Tekst treści_"/>
    <w:link w:val="Teksttreci"/>
    <w:rsid w:val="00CC4C94"/>
    <w:rPr>
      <w:shd w:val="clear" w:color="auto" w:fill="FFFFFF"/>
    </w:rPr>
  </w:style>
  <w:style w:type="paragraph" w:customStyle="1" w:styleId="Teksttreci1">
    <w:name w:val="Tekst treści1"/>
    <w:basedOn w:val="Normalny"/>
    <w:rsid w:val="00CC4C94"/>
    <w:pPr>
      <w:widowControl w:val="0"/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Kursywa">
    <w:name w:val="Stopka + Kursywa"/>
    <w:aliases w:val="Odstępy 0 pt"/>
    <w:rsid w:val="00CC4C94"/>
    <w:rPr>
      <w:rFonts w:ascii="Calibri" w:hAnsi="Calibri"/>
      <w:i/>
      <w:iCs/>
      <w:sz w:val="16"/>
      <w:szCs w:val="16"/>
      <w:lang w:bidi="ar-SA"/>
    </w:rPr>
  </w:style>
  <w:style w:type="character" w:customStyle="1" w:styleId="Stopka2Bezkursywy">
    <w:name w:val="Stopka (2) + Bez kursywy"/>
    <w:aliases w:val="Odstępy 0 pt2"/>
    <w:basedOn w:val="Stopka2"/>
    <w:rsid w:val="00CC4C94"/>
    <w:rPr>
      <w:i/>
      <w:iCs/>
      <w:sz w:val="16"/>
      <w:szCs w:val="16"/>
      <w:shd w:val="clear" w:color="auto" w:fill="FFFFFF"/>
    </w:rPr>
  </w:style>
  <w:style w:type="paragraph" w:customStyle="1" w:styleId="Stopka20">
    <w:name w:val="Stopka (2)"/>
    <w:basedOn w:val="Normalny"/>
    <w:link w:val="Stopka2"/>
    <w:rsid w:val="00CC4C94"/>
    <w:pPr>
      <w:widowControl w:val="0"/>
      <w:shd w:val="clear" w:color="auto" w:fill="FFFFFF"/>
      <w:spacing w:line="202" w:lineRule="exact"/>
      <w:jc w:val="both"/>
    </w:pPr>
    <w:rPr>
      <w:i/>
      <w:iCs/>
      <w:sz w:val="16"/>
      <w:szCs w:val="16"/>
    </w:rPr>
  </w:style>
  <w:style w:type="character" w:customStyle="1" w:styleId="Stopka2">
    <w:name w:val="Stopka (2)_"/>
    <w:link w:val="Stopka20"/>
    <w:rsid w:val="00CC4C94"/>
    <w:rPr>
      <w:i/>
      <w:iCs/>
      <w:sz w:val="16"/>
      <w:szCs w:val="16"/>
      <w:shd w:val="clear" w:color="auto" w:fill="FFFFFF"/>
    </w:rPr>
  </w:style>
  <w:style w:type="character" w:customStyle="1" w:styleId="TeksttreciKursywa">
    <w:name w:val="Tekst treści + Kursywa"/>
    <w:aliases w:val="Odstępy -1 pt"/>
    <w:rsid w:val="00CC4C94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fontstyle01">
    <w:name w:val="fontstyle01"/>
    <w:rsid w:val="00CC4C94"/>
    <w:rPr>
      <w:rFonts w:ascii="Times-Roman" w:hAnsi="Times-Roman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CC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4C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C4C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C94"/>
    <w:rPr>
      <w:rFonts w:ascii="Calibri" w:eastAsia="Times New Roman" w:hAnsi="Calibri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CC4C94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C4C94"/>
    <w:pPr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C4C94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4C94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CC4C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C4C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4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C94"/>
  </w:style>
  <w:style w:type="paragraph" w:styleId="Stopka">
    <w:name w:val="footer"/>
    <w:basedOn w:val="Normalny"/>
    <w:link w:val="StopkaZnak"/>
    <w:uiPriority w:val="99"/>
    <w:unhideWhenUsed/>
    <w:rsid w:val="00CC4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C94"/>
  </w:style>
  <w:style w:type="character" w:styleId="Odwoanieprzypisudolnego">
    <w:name w:val="footnote reference"/>
    <w:uiPriority w:val="99"/>
    <w:unhideWhenUsed/>
    <w:rsid w:val="00CC4C94"/>
    <w:rPr>
      <w:vertAlign w:val="superscript"/>
    </w:rPr>
  </w:style>
  <w:style w:type="character" w:styleId="Odwoaniedokomentarza">
    <w:name w:val="annotation reference"/>
    <w:rsid w:val="00CC4C9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C9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C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C94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C4C94"/>
    <w:pPr>
      <w:ind w:firstLine="70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4C94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CC4C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C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C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C9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4C94"/>
    <w:pPr>
      <w:spacing w:line="259" w:lineRule="auto"/>
      <w:outlineLvl w:val="9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17F"/>
    <w:rPr>
      <w:color w:val="605E5C"/>
      <w:shd w:val="clear" w:color="auto" w:fill="E1DFDD"/>
    </w:rPr>
  </w:style>
  <w:style w:type="paragraph" w:customStyle="1" w:styleId="Default">
    <w:name w:val="Default"/>
    <w:rsid w:val="00391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60A"/>
    <w:rPr>
      <w:rFonts w:ascii="Calibri" w:eastAsiaTheme="minorHAns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60A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CM4">
    <w:name w:val="CM4"/>
    <w:basedOn w:val="Default"/>
    <w:next w:val="Default"/>
    <w:uiPriority w:val="99"/>
    <w:rsid w:val="00A67470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rachunkowosc.com.pl/17_lat_funkcjonowania_krajowej_komisji_nadzoru" TargetMode="External"/><Relationship Id="rId18" Type="http://schemas.openxmlformats.org/officeDocument/2006/relationships/hyperlink" Target="https://www.gov.pl/web/finanse/sprawozdania-z-monitorowania-rynku" TargetMode="External"/><Relationship Id="rId26" Type="http://schemas.openxmlformats.org/officeDocument/2006/relationships/hyperlink" Target="https://www.pibr.org.pl/assets/file/365,KRBR-uchwala-2784-52-201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f.gov.pl/ministerstwo-finansow/dzialalnosc/rewizja-finansowa/aktualno&#347;c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:32014L0056&amp;from=EN" TargetMode="External"/><Relationship Id="rId17" Type="http://schemas.openxmlformats.org/officeDocument/2006/relationships/hyperlink" Target="https://www.gov.pl/web/finanse/sprawozdania-z-monitorowania-rynku" TargetMode="External"/><Relationship Id="rId25" Type="http://schemas.openxmlformats.org/officeDocument/2006/relationships/hyperlink" Target="https://www.pibr.org.pl/assets/file/519,KRBR-uchwala-2783-52-2015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p.europa.eu/pl/publication-detail/-/publication/08744053-2f56-415a-a985-7ceaef3d3b3a/language-pl" TargetMode="External"/><Relationship Id="rId20" Type="http://schemas.openxmlformats.org/officeDocument/2006/relationships/hyperlink" Target="https://www.parkiet.com/Firmy/312089988-Duze-przetasowania-na-krajowym-rynku-audytu.html" TargetMode="External"/><Relationship Id="rId29" Type="http://schemas.openxmlformats.org/officeDocument/2006/relationships/hyperlink" Target="http://prawo.sejm.gov.pl/isap.nsf/download.xsp/WDU19941210591/U/D19940591Lj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s://op.europa.eu/pl/publication-detail/-/publication/567809be-e656-11e3-8cd4-01aa75ed71a1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p.europa.eu/pl/publication-detail/-/publication/08744053-2f56-415a-a985-7ceaef3d3b3a/language-pl" TargetMode="External"/><Relationship Id="rId23" Type="http://schemas.openxmlformats.org/officeDocument/2006/relationships/hyperlink" Target="https://www.pibr.org.pl/pl/aktualnosci/5,Wykonywanie-badania-na-podstawie-MSB-dokument-WPK" TargetMode="External"/><Relationship Id="rId28" Type="http://schemas.openxmlformats.org/officeDocument/2006/relationships/hyperlink" Target="http://prawo.sejm.gov.pl/isap.nsf/download.xsp/WDU20170001089/T/D20171089L.pdf" TargetMode="External"/><Relationship Id="rId10" Type="http://schemas.openxmlformats.org/officeDocument/2006/relationships/image" Target="media/image1.emf"/><Relationship Id="rId19" Type="http://schemas.openxmlformats.org/officeDocument/2006/relationships/hyperlink" Target="https://www.pibr.org.pl/assets/file/4142,1.4%20KSB%20230.pdf" TargetMode="External"/><Relationship Id="rId31" Type="http://schemas.openxmlformats.org/officeDocument/2006/relationships/hyperlink" Target="https://www.parkiet.com/Firmy/312089988-Duze-przetasowania-na-krajowym-rynku-audytu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eur-lex.europa.eu/legal-content/PL/TXT/PDF/?uri=CELEX:52017DC0464&amp;from=PL" TargetMode="External"/><Relationship Id="rId22" Type="http://schemas.openxmlformats.org/officeDocument/2006/relationships/hyperlink" Target="http://kolegia.sgh.waw.pl/pl/KES/struktura/kue/publikacje/Documents/Piekarska%20-%20GLOBALNY%20KRYZYS%20FINANSOWY%20Z%202008%20R.pdf" TargetMode="External"/><Relationship Id="rId27" Type="http://schemas.openxmlformats.org/officeDocument/2006/relationships/hyperlink" Target="http://prawo.sejm.gov.pl/isap.nsf/DocDetails.xsp?id=WDU20190001571" TargetMode="External"/><Relationship Id="rId30" Type="http://schemas.openxmlformats.org/officeDocument/2006/relationships/hyperlink" Target="http://prawo.sejm.gov.pl/isap.nsf/download.xsp/WDU20180000646/U/D20180646Lj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rawo.sejm.gov.pl/isap.nsf/download.xsp/WDU20051831538/U/D20051538Lj.pdf" TargetMode="External"/><Relationship Id="rId2" Type="http://schemas.openxmlformats.org/officeDocument/2006/relationships/hyperlink" Target="mailto:bzakrzewska@account-pl.eu" TargetMode="External"/><Relationship Id="rId1" Type="http://schemas.openxmlformats.org/officeDocument/2006/relationships/hyperlink" Target="mailto:jwielg@sgh.waw.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ata\Documents\DOKTORAT\Praca%20doktorska\Publikacje_Dokumenty-otwarcie\Publikacje\Zjazd%20Katedr%20Rachunkowsci%20Krak&#243;w\Statystyki%20BR%20i%20Firmy%20audytorski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ata\Documents\DOKTORAT\Praca%20doktorska\Publikacje_Dokumenty-otwarcie\Publikacje\Zjazd%20Katedr%20Rachunkowsci%20Krak&#243;w\Statystyki%20BR%20i%20Firmy%20audytorski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BR!$D$4</c:f>
              <c:strCache>
                <c:ptCount val="1"/>
                <c:pt idx="0">
                  <c:v>Ilość biegłych rewidentów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BR!$C$5:$C$8</c:f>
              <c:strCache>
                <c:ptCount val="4"/>
                <c:pt idx="0">
                  <c:v>2016.12.31</c:v>
                </c:pt>
                <c:pt idx="1">
                  <c:v>2017.12.31</c:v>
                </c:pt>
                <c:pt idx="2">
                  <c:v>2018.12.31</c:v>
                </c:pt>
                <c:pt idx="3">
                  <c:v>2019.12.31</c:v>
                </c:pt>
              </c:strCache>
            </c:strRef>
          </c:cat>
          <c:val>
            <c:numRef>
              <c:f>BR!$D$5:$D$8</c:f>
              <c:numCache>
                <c:formatCode>General</c:formatCode>
                <c:ptCount val="4"/>
                <c:pt idx="0">
                  <c:v>4484</c:v>
                </c:pt>
                <c:pt idx="1">
                  <c:v>4284</c:v>
                </c:pt>
                <c:pt idx="2">
                  <c:v>3887</c:v>
                </c:pt>
                <c:pt idx="3">
                  <c:v>3623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21-491B-A067-8DD5A46224C0}"/>
            </c:ext>
          </c:extLst>
        </c:ser>
        <c:ser>
          <c:idx val="1"/>
          <c:order val="1"/>
          <c:tx>
            <c:strRef>
              <c:f>BR!$E$4</c:f>
              <c:strCache>
                <c:ptCount val="1"/>
                <c:pt idx="0">
                  <c:v>Ilośc skreśleń w roku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BR!$C$5:$C$8</c:f>
              <c:strCache>
                <c:ptCount val="4"/>
                <c:pt idx="0">
                  <c:v>2016.12.31</c:v>
                </c:pt>
                <c:pt idx="1">
                  <c:v>2017.12.31</c:v>
                </c:pt>
                <c:pt idx="2">
                  <c:v>2018.12.31</c:v>
                </c:pt>
                <c:pt idx="3">
                  <c:v>2019.12.31</c:v>
                </c:pt>
              </c:strCache>
            </c:strRef>
          </c:cat>
          <c:val>
            <c:numRef>
              <c:f>BR!$E$5:$E$8</c:f>
              <c:numCache>
                <c:formatCode>General</c:formatCode>
                <c:ptCount val="4"/>
                <c:pt idx="0">
                  <c:v>238</c:v>
                </c:pt>
                <c:pt idx="1">
                  <c:v>462</c:v>
                </c:pt>
                <c:pt idx="2">
                  <c:v>719</c:v>
                </c:pt>
                <c:pt idx="3">
                  <c:v>585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21-491B-A067-8DD5A46224C0}"/>
            </c:ext>
          </c:extLst>
        </c:ser>
        <c:ser>
          <c:idx val="2"/>
          <c:order val="2"/>
          <c:tx>
            <c:strRef>
              <c:f>BR!$F$4</c:f>
              <c:strCache>
                <c:ptCount val="1"/>
                <c:pt idx="0">
                  <c:v>Ilośc wpisów w roku</c:v>
                </c:pt>
              </c:strCache>
            </c:strRef>
          </c:tx>
          <c:spPr>
            <a:ln w="22225" cap="rnd" cmpd="sng" algn="ctr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BR!$C$5:$C$8</c:f>
              <c:strCache>
                <c:ptCount val="4"/>
                <c:pt idx="0">
                  <c:v>2016.12.31</c:v>
                </c:pt>
                <c:pt idx="1">
                  <c:v>2017.12.31</c:v>
                </c:pt>
                <c:pt idx="2">
                  <c:v>2018.12.31</c:v>
                </c:pt>
                <c:pt idx="3">
                  <c:v>2019.12.31</c:v>
                </c:pt>
              </c:strCache>
            </c:strRef>
          </c:cat>
          <c:val>
            <c:numRef>
              <c:f>BR!$F$5:$F$8</c:f>
              <c:numCache>
                <c:formatCode>General</c:formatCode>
                <c:ptCount val="4"/>
                <c:pt idx="0">
                  <c:v>139</c:v>
                </c:pt>
                <c:pt idx="1">
                  <c:v>156</c:v>
                </c:pt>
                <c:pt idx="2">
                  <c:v>102</c:v>
                </c:pt>
                <c:pt idx="3">
                  <c:v>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21-491B-A067-8DD5A46224C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21380560"/>
        <c:axId val="539176016"/>
      </c:lineChart>
      <c:catAx>
        <c:axId val="321380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Stan na dzień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9176016"/>
        <c:crosses val="autoZero"/>
        <c:auto val="1"/>
        <c:lblAlgn val="ctr"/>
        <c:lblOffset val="100"/>
        <c:noMultiLvlLbl val="0"/>
      </c:catAx>
      <c:valAx>
        <c:axId val="539176016"/>
        <c:scaling>
          <c:orientation val="minMax"/>
          <c:min val="34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Ilość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1380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FA!$D$8</c:f>
              <c:strCache>
                <c:ptCount val="1"/>
                <c:pt idx="0">
                  <c:v>Ilość firm audytorskich 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FA!$C$9:$C$12</c:f>
              <c:strCache>
                <c:ptCount val="4"/>
                <c:pt idx="0">
                  <c:v>2016.12.31</c:v>
                </c:pt>
                <c:pt idx="1">
                  <c:v>2017.12.31</c:v>
                </c:pt>
                <c:pt idx="2">
                  <c:v>2018.12.31</c:v>
                </c:pt>
                <c:pt idx="3">
                  <c:v>2019.12.31</c:v>
                </c:pt>
              </c:strCache>
            </c:strRef>
          </c:cat>
          <c:val>
            <c:numRef>
              <c:f>FA!$D$9:$D$12</c:f>
              <c:numCache>
                <c:formatCode>General</c:formatCode>
                <c:ptCount val="4"/>
                <c:pt idx="0">
                  <c:v>1587</c:v>
                </c:pt>
                <c:pt idx="1">
                  <c:v>1563</c:v>
                </c:pt>
                <c:pt idx="2">
                  <c:v>1516</c:v>
                </c:pt>
                <c:pt idx="3">
                  <c:v>1422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16-4999-8FA5-E6273F8D1F08}"/>
            </c:ext>
          </c:extLst>
        </c:ser>
        <c:ser>
          <c:idx val="1"/>
          <c:order val="1"/>
          <c:tx>
            <c:strRef>
              <c:f>FA!$E$8</c:f>
              <c:strCache>
                <c:ptCount val="1"/>
                <c:pt idx="0">
                  <c:v>Ilośc skreśleń w roku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FA!$C$9:$C$12</c:f>
              <c:strCache>
                <c:ptCount val="4"/>
                <c:pt idx="0">
                  <c:v>2016.12.31</c:v>
                </c:pt>
                <c:pt idx="1">
                  <c:v>2017.12.31</c:v>
                </c:pt>
                <c:pt idx="2">
                  <c:v>2018.12.31</c:v>
                </c:pt>
                <c:pt idx="3">
                  <c:v>2019.12.31</c:v>
                </c:pt>
              </c:strCache>
            </c:strRef>
          </c:cat>
          <c:val>
            <c:numRef>
              <c:f>FA!$E$9:$E$12</c:f>
              <c:numCache>
                <c:formatCode>General</c:formatCode>
                <c:ptCount val="4"/>
                <c:pt idx="0">
                  <c:v>89</c:v>
                </c:pt>
                <c:pt idx="1">
                  <c:v>96</c:v>
                </c:pt>
                <c:pt idx="2">
                  <c:v>86</c:v>
                </c:pt>
                <c:pt idx="3">
                  <c:v>149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16-4999-8FA5-E6273F8D1F08}"/>
            </c:ext>
          </c:extLst>
        </c:ser>
        <c:ser>
          <c:idx val="2"/>
          <c:order val="2"/>
          <c:tx>
            <c:strRef>
              <c:f>FA!$F$8</c:f>
              <c:strCache>
                <c:ptCount val="1"/>
                <c:pt idx="0">
                  <c:v>Ilośc wpisów w roku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FA!$C$9:$C$12</c:f>
              <c:strCache>
                <c:ptCount val="4"/>
                <c:pt idx="0">
                  <c:v>2016.12.31</c:v>
                </c:pt>
                <c:pt idx="1">
                  <c:v>2017.12.31</c:v>
                </c:pt>
                <c:pt idx="2">
                  <c:v>2018.12.31</c:v>
                </c:pt>
                <c:pt idx="3">
                  <c:v>2019.12.31</c:v>
                </c:pt>
              </c:strCache>
            </c:strRef>
          </c:cat>
          <c:val>
            <c:numRef>
              <c:f>FA!$F$9:$F$12</c:f>
              <c:numCache>
                <c:formatCode>General</c:formatCode>
                <c:ptCount val="4"/>
                <c:pt idx="0">
                  <c:v>63</c:v>
                </c:pt>
                <c:pt idx="1">
                  <c:v>72</c:v>
                </c:pt>
                <c:pt idx="2">
                  <c:v>39</c:v>
                </c:pt>
                <c:pt idx="3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916-4999-8FA5-E6273F8D1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540196368"/>
        <c:axId val="540195384"/>
      </c:lineChart>
      <c:catAx>
        <c:axId val="540196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Okres</a:t>
                </a:r>
              </a:p>
            </c:rich>
          </c:tx>
          <c:layout>
            <c:manualLayout>
              <c:xMode val="edge"/>
              <c:yMode val="edge"/>
              <c:x val="0.57970209973753284"/>
              <c:y val="0.782036307961504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0195384"/>
        <c:crosses val="autoZero"/>
        <c:auto val="1"/>
        <c:lblAlgn val="ctr"/>
        <c:lblOffset val="100"/>
        <c:noMultiLvlLbl val="0"/>
      </c:catAx>
      <c:valAx>
        <c:axId val="540195384"/>
        <c:scaling>
          <c:orientation val="minMax"/>
          <c:max val="1800"/>
          <c:min val="14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Liczba firm audytorskich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0196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9BC0-3AF6-4C6E-A008-0A62FCE6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16</Pages>
  <Words>5310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13</cp:revision>
  <dcterms:created xsi:type="dcterms:W3CDTF">2020-02-29T19:45:00Z</dcterms:created>
  <dcterms:modified xsi:type="dcterms:W3CDTF">2020-05-14T09:20:00Z</dcterms:modified>
</cp:coreProperties>
</file>