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8196C" w14:textId="33DFCCDF" w:rsidR="00943AD2" w:rsidRDefault="00DE3CA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Eugeniusz Kwiatkowski</w:t>
      </w:r>
      <w:r>
        <w:rPr>
          <w:rStyle w:val="Odwoanieprzypisudolnego"/>
          <w:rFonts w:asciiTheme="majorBidi" w:hAnsiTheme="majorBidi" w:cstheme="majorBidi"/>
          <w:sz w:val="24"/>
          <w:szCs w:val="24"/>
        </w:rPr>
        <w:footnoteReference w:id="1"/>
      </w:r>
    </w:p>
    <w:p w14:paraId="14041EFA" w14:textId="77777777" w:rsidR="00DE3CA9" w:rsidRDefault="00DE3CA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Emilia Kwiatkowska</w:t>
      </w:r>
      <w:r>
        <w:rPr>
          <w:rStyle w:val="Odwoanieprzypisudolnego"/>
          <w:rFonts w:asciiTheme="majorBidi" w:hAnsiTheme="majorBidi" w:cstheme="majorBidi"/>
          <w:sz w:val="24"/>
          <w:szCs w:val="24"/>
        </w:rPr>
        <w:footnoteReference w:id="2"/>
      </w:r>
    </w:p>
    <w:p w14:paraId="7D250F05" w14:textId="77777777" w:rsidR="00DE3CA9" w:rsidRDefault="00DE3CA9">
      <w:pPr>
        <w:rPr>
          <w:rFonts w:asciiTheme="majorBidi" w:hAnsiTheme="majorBidi" w:cstheme="majorBidi"/>
          <w:sz w:val="24"/>
          <w:szCs w:val="24"/>
        </w:rPr>
      </w:pPr>
    </w:p>
    <w:p w14:paraId="0DC9A444" w14:textId="77777777" w:rsidR="00BB002E" w:rsidRDefault="00FE18A5" w:rsidP="00DE3CA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E18A5">
        <w:rPr>
          <w:rFonts w:asciiTheme="majorBidi" w:hAnsiTheme="majorBidi" w:cstheme="majorBidi"/>
          <w:b/>
          <w:bCs/>
          <w:sz w:val="24"/>
          <w:szCs w:val="24"/>
        </w:rPr>
        <w:t>Zróżnicowanie poziomu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E18A5">
        <w:rPr>
          <w:rFonts w:asciiTheme="majorBidi" w:hAnsiTheme="majorBidi" w:cstheme="majorBidi"/>
          <w:b/>
          <w:bCs/>
          <w:sz w:val="24"/>
          <w:szCs w:val="24"/>
        </w:rPr>
        <w:t xml:space="preserve">i charakteru bezrobocia </w:t>
      </w:r>
    </w:p>
    <w:p w14:paraId="11BE277C" w14:textId="0BAF7410" w:rsidR="00FE18A5" w:rsidRDefault="00FE18A5" w:rsidP="00DE3CA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E18A5">
        <w:rPr>
          <w:rFonts w:asciiTheme="majorBidi" w:hAnsiTheme="majorBidi" w:cstheme="majorBidi"/>
          <w:b/>
          <w:bCs/>
          <w:sz w:val="24"/>
          <w:szCs w:val="24"/>
        </w:rPr>
        <w:t>w przekroju powiatów w Polsce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81DB91D" w14:textId="77777777" w:rsidR="00AF51E9" w:rsidRPr="00AF51E9" w:rsidRDefault="00AF51E9" w:rsidP="00AF51E9">
      <w:pPr>
        <w:rPr>
          <w:rFonts w:asciiTheme="majorBidi" w:hAnsiTheme="majorBidi" w:cstheme="majorBidi"/>
          <w:b/>
          <w:sz w:val="24"/>
          <w:szCs w:val="24"/>
        </w:rPr>
      </w:pPr>
      <w:r w:rsidRPr="00AF51E9">
        <w:rPr>
          <w:rFonts w:asciiTheme="majorBidi" w:hAnsiTheme="majorBidi" w:cstheme="majorBidi"/>
          <w:b/>
          <w:sz w:val="24"/>
          <w:szCs w:val="24"/>
        </w:rPr>
        <w:t>Streszczenie</w:t>
      </w:r>
    </w:p>
    <w:p w14:paraId="3B523E8D" w14:textId="77777777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180FF6">
        <w:rPr>
          <w:rFonts w:asciiTheme="majorBidi" w:hAnsiTheme="majorBidi" w:cstheme="majorBidi"/>
          <w:i/>
          <w:sz w:val="24"/>
          <w:szCs w:val="24"/>
        </w:rPr>
        <w:t>Cel</w:t>
      </w:r>
      <w:r>
        <w:rPr>
          <w:rFonts w:asciiTheme="majorBidi" w:hAnsiTheme="majorBidi" w:cstheme="majorBidi"/>
          <w:sz w:val="24"/>
          <w:szCs w:val="24"/>
        </w:rPr>
        <w:t xml:space="preserve">: Ukazanie zróżnicowania bezrobocia w polskich powiatach w latach 2011-2019 ze względu na </w:t>
      </w:r>
      <w:r w:rsidRPr="00475B9D">
        <w:rPr>
          <w:rFonts w:asciiTheme="majorBidi" w:hAnsiTheme="majorBidi" w:cstheme="majorBidi"/>
          <w:sz w:val="24"/>
          <w:szCs w:val="24"/>
        </w:rPr>
        <w:t>stop</w:t>
      </w:r>
      <w:r>
        <w:rPr>
          <w:rFonts w:asciiTheme="majorBidi" w:hAnsiTheme="majorBidi" w:cstheme="majorBidi"/>
          <w:sz w:val="24"/>
          <w:szCs w:val="24"/>
        </w:rPr>
        <w:t xml:space="preserve">ę i charakter bezrobocia, identyfikacja najtrudniejszych i najkorzystniejszych powiatowych rynków pracy oraz ustalenie najważniejszych czynników ekonomicznych decydujących o klasyfikacji powiatów ze względu na poziom i charakter bezrobocia. </w:t>
      </w:r>
    </w:p>
    <w:p w14:paraId="5D368B1A" w14:textId="1967B866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180FF6">
        <w:rPr>
          <w:rFonts w:asciiTheme="majorBidi" w:hAnsiTheme="majorBidi" w:cstheme="majorBidi"/>
          <w:i/>
          <w:sz w:val="24"/>
          <w:szCs w:val="24"/>
        </w:rPr>
        <w:t>Metodyka badań</w:t>
      </w:r>
      <w:r>
        <w:rPr>
          <w:rFonts w:asciiTheme="majorBidi" w:hAnsiTheme="majorBidi" w:cstheme="majorBidi"/>
          <w:sz w:val="24"/>
          <w:szCs w:val="24"/>
        </w:rPr>
        <w:t xml:space="preserve">: Klasyfikacja powiatowych rynków pracy </w:t>
      </w:r>
      <w:r>
        <w:rPr>
          <w:rFonts w:asciiTheme="majorBidi" w:hAnsiTheme="majorBidi" w:cstheme="majorBidi"/>
          <w:sz w:val="24"/>
          <w:szCs w:val="24"/>
        </w:rPr>
        <w:t>w oparciu o średnią i </w:t>
      </w:r>
      <w:r>
        <w:rPr>
          <w:rFonts w:asciiTheme="majorBidi" w:hAnsiTheme="majorBidi" w:cstheme="majorBidi"/>
          <w:sz w:val="24"/>
          <w:szCs w:val="24"/>
        </w:rPr>
        <w:t xml:space="preserve">odchylenie standardowe oraz analizy ekonometryczne wykorzystujące modele </w:t>
      </w:r>
      <w:proofErr w:type="spellStart"/>
      <w:r>
        <w:rPr>
          <w:rFonts w:asciiTheme="majorBidi" w:hAnsiTheme="majorBidi" w:cstheme="majorBidi"/>
          <w:sz w:val="24"/>
          <w:szCs w:val="24"/>
        </w:rPr>
        <w:t>logitowe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zmiennych dwumianowych.</w:t>
      </w:r>
    </w:p>
    <w:p w14:paraId="10834328" w14:textId="77777777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180FF6">
        <w:rPr>
          <w:rFonts w:asciiTheme="majorBidi" w:hAnsiTheme="majorBidi" w:cstheme="majorBidi"/>
          <w:i/>
          <w:sz w:val="24"/>
          <w:szCs w:val="24"/>
        </w:rPr>
        <w:t>Wyniki badań</w:t>
      </w:r>
      <w:r>
        <w:rPr>
          <w:rFonts w:asciiTheme="majorBidi" w:hAnsiTheme="majorBidi" w:cstheme="majorBidi"/>
          <w:sz w:val="24"/>
          <w:szCs w:val="24"/>
        </w:rPr>
        <w:t>: Wykazano duże zróżnicowanie poziomu i charakteru bezrobocia w polskich powiatach w latach 2011-2019. Powiaty z korzystną sytuacją na rynkach pracy zlokalizowane są w zachodniej części kraju, zaś powiaty ze stosunkowo trudnymi rynkami znajdują się w części wschodniej. Największe zróżnicowanie sytuacji na powiatowych rynkach pracy utrzymuje się w województwie mazowieckim. Na szansę przyporządkowania powiatów do grup charakteryzujących się niskim poziomem bezrobocia i  co najmniej średnim poziomem przepływów wpływały wysokie wartości majątku produkcyjnego, produkcji sprzedanej przemysłu oraz poziomu przedsiębiorczości.</w:t>
      </w:r>
    </w:p>
    <w:p w14:paraId="16B41FCA" w14:textId="77777777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DC083B">
        <w:rPr>
          <w:rFonts w:asciiTheme="majorBidi" w:hAnsiTheme="majorBidi" w:cstheme="majorBidi"/>
          <w:i/>
          <w:sz w:val="24"/>
          <w:szCs w:val="24"/>
        </w:rPr>
        <w:t>Wnioski</w:t>
      </w:r>
      <w:r>
        <w:rPr>
          <w:rFonts w:asciiTheme="majorBidi" w:hAnsiTheme="majorBidi" w:cstheme="majorBidi"/>
          <w:sz w:val="24"/>
          <w:szCs w:val="24"/>
        </w:rPr>
        <w:t>: Zmniejszenie przeciętnego poziomu</w:t>
      </w:r>
      <w:r w:rsidRPr="00C954A6">
        <w:rPr>
          <w:rFonts w:asciiTheme="majorBidi" w:hAnsiTheme="majorBidi" w:cstheme="majorBidi"/>
          <w:sz w:val="24"/>
          <w:szCs w:val="24"/>
        </w:rPr>
        <w:t xml:space="preserve"> stopy bezrobocia w powiatach, </w:t>
      </w:r>
      <w:r>
        <w:rPr>
          <w:rFonts w:asciiTheme="majorBidi" w:hAnsiTheme="majorBidi" w:cstheme="majorBidi"/>
          <w:sz w:val="24"/>
          <w:szCs w:val="24"/>
        </w:rPr>
        <w:t xml:space="preserve">oraz zwiększenie przepływów między bezrobociem a zatrudnieniem w latach 2011-2019 nie zmieniło znacząco grupowania powiatów ze względu na ich sytuację na rynku pracy. Nadal występuje duże zróżnicowanie poziomu i charakteru bezrobocia. Na podstawie oszacowań modelu można przypuszczać, że utrzymująca się struktura przestrzenna </w:t>
      </w:r>
      <w:r w:rsidRPr="00646274">
        <w:rPr>
          <w:rFonts w:asciiTheme="majorBidi" w:hAnsiTheme="majorBidi" w:cstheme="majorBidi"/>
          <w:sz w:val="24"/>
          <w:szCs w:val="24"/>
        </w:rPr>
        <w:lastRenderedPageBreak/>
        <w:t xml:space="preserve">wartości </w:t>
      </w:r>
      <w:r>
        <w:rPr>
          <w:rFonts w:asciiTheme="majorBidi" w:hAnsiTheme="majorBidi" w:cstheme="majorBidi"/>
          <w:sz w:val="24"/>
          <w:szCs w:val="24"/>
        </w:rPr>
        <w:t>stymulant rozwoju gospodarczego będzie decydować o utrwalaniu różnic między lokalnymi rynkami pracy pod względem poziomu oraz charakteru bezrobocia.</w:t>
      </w:r>
    </w:p>
    <w:p w14:paraId="17343C16" w14:textId="77777777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DC083B">
        <w:rPr>
          <w:rFonts w:asciiTheme="majorBidi" w:hAnsiTheme="majorBidi" w:cstheme="majorBidi"/>
          <w:i/>
          <w:sz w:val="24"/>
          <w:szCs w:val="24"/>
        </w:rPr>
        <w:t>Wkład w rozwój dyscypliny</w:t>
      </w:r>
      <w:r>
        <w:rPr>
          <w:rFonts w:asciiTheme="majorBidi" w:hAnsiTheme="majorBidi" w:cstheme="majorBidi"/>
          <w:sz w:val="24"/>
          <w:szCs w:val="24"/>
        </w:rPr>
        <w:t>: Wykazanie zróżnicowania bezrobocia w powiatach ze względu na równoczesne wykorzystanie mierników stanu i strumieni, porównanie zróżnicowania bezrobocia w dwóch odmiennych stanach koniunktury gospodarczej oraz określenie najważniejszych czynników decydujących o poziomie i charakterze bezrobocia w powiatach.</w:t>
      </w:r>
    </w:p>
    <w:p w14:paraId="49F1D835" w14:textId="77777777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D14082">
        <w:rPr>
          <w:rFonts w:asciiTheme="majorBidi" w:hAnsiTheme="majorBidi" w:cstheme="majorBidi"/>
          <w:b/>
          <w:sz w:val="24"/>
          <w:szCs w:val="24"/>
        </w:rPr>
        <w:t>Słowa kluczowe</w:t>
      </w:r>
      <w:r>
        <w:rPr>
          <w:rFonts w:asciiTheme="majorBidi" w:hAnsiTheme="majorBidi" w:cstheme="majorBidi"/>
          <w:sz w:val="24"/>
          <w:szCs w:val="24"/>
        </w:rPr>
        <w:t xml:space="preserve">: powiatowe rynki pracy, stopa bezrobocia, przepływy między bezrobociem i zatrudnieniem, zróżnicowanie przestrzenne, model </w:t>
      </w:r>
      <w:proofErr w:type="spellStart"/>
      <w:r>
        <w:rPr>
          <w:rFonts w:asciiTheme="majorBidi" w:hAnsiTheme="majorBidi" w:cstheme="majorBidi"/>
          <w:sz w:val="24"/>
          <w:szCs w:val="24"/>
        </w:rPr>
        <w:t>logitowy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zmiennych dwumianowych.</w:t>
      </w:r>
    </w:p>
    <w:p w14:paraId="5E003647" w14:textId="77777777" w:rsidR="00F30181" w:rsidRDefault="00F30181" w:rsidP="00F30181">
      <w:pPr>
        <w:spacing w:line="360" w:lineRule="auto"/>
        <w:ind w:firstLine="360"/>
        <w:jc w:val="thaiDistribute"/>
        <w:rPr>
          <w:rFonts w:asciiTheme="majorBidi" w:hAnsiTheme="majorBidi" w:cstheme="majorBidi"/>
          <w:sz w:val="24"/>
          <w:szCs w:val="24"/>
        </w:rPr>
      </w:pPr>
      <w:r w:rsidRPr="00D14082">
        <w:rPr>
          <w:rFonts w:asciiTheme="majorBidi" w:hAnsiTheme="majorBidi" w:cstheme="majorBidi"/>
          <w:b/>
          <w:sz w:val="24"/>
          <w:szCs w:val="24"/>
        </w:rPr>
        <w:t xml:space="preserve">Klasyfikacja </w:t>
      </w:r>
      <w:proofErr w:type="spellStart"/>
      <w:r w:rsidRPr="00D14082">
        <w:rPr>
          <w:rFonts w:asciiTheme="majorBidi" w:hAnsiTheme="majorBidi" w:cstheme="majorBidi"/>
          <w:b/>
          <w:sz w:val="24"/>
          <w:szCs w:val="24"/>
        </w:rPr>
        <w:t>JEL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C23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C25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J21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J64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R23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2ECA28A" w14:textId="77777777" w:rsidR="00004718" w:rsidRPr="00004718" w:rsidRDefault="00004718" w:rsidP="00004718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4E2BCCD2" w14:textId="77777777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E27F72">
        <w:rPr>
          <w:rFonts w:asciiTheme="majorBidi" w:hAnsiTheme="majorBidi" w:cstheme="majorBidi"/>
          <w:b/>
          <w:sz w:val="24"/>
          <w:szCs w:val="24"/>
          <w:lang w:val="en-US"/>
        </w:rPr>
        <w:t>Va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riation of</w:t>
      </w:r>
      <w:r w:rsidRPr="00E75410">
        <w:rPr>
          <w:rFonts w:asciiTheme="majorBidi" w:hAnsiTheme="majorBidi" w:cstheme="majorBidi"/>
          <w:b/>
          <w:sz w:val="24"/>
          <w:szCs w:val="24"/>
          <w:lang w:val="en-US"/>
        </w:rPr>
        <w:t xml:space="preserve"> the level and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dynamics</w:t>
      </w:r>
      <w:r w:rsidRPr="00E75410">
        <w:rPr>
          <w:rFonts w:asciiTheme="majorBidi" w:hAnsiTheme="majorBidi" w:cstheme="majorBidi"/>
          <w:b/>
          <w:sz w:val="24"/>
          <w:szCs w:val="24"/>
          <w:lang w:val="en-US"/>
        </w:rPr>
        <w:t xml:space="preserve"> of unemployment by </w:t>
      </w:r>
      <w:proofErr w:type="spellStart"/>
      <w:r w:rsidRPr="00E75410">
        <w:rPr>
          <w:rFonts w:asciiTheme="majorBidi" w:hAnsiTheme="majorBidi" w:cstheme="majorBidi"/>
          <w:b/>
          <w:sz w:val="24"/>
          <w:szCs w:val="24"/>
          <w:lang w:val="en-US"/>
        </w:rPr>
        <w:t>poviats</w:t>
      </w:r>
      <w:proofErr w:type="spellEnd"/>
      <w:r w:rsidRPr="00E75410">
        <w:rPr>
          <w:rFonts w:asciiTheme="majorBidi" w:hAnsiTheme="majorBidi" w:cstheme="majorBidi"/>
          <w:b/>
          <w:sz w:val="24"/>
          <w:szCs w:val="24"/>
          <w:lang w:val="en-US"/>
        </w:rPr>
        <w:t xml:space="preserve"> in Poland</w:t>
      </w:r>
    </w:p>
    <w:p w14:paraId="015D7254" w14:textId="77777777" w:rsidR="001B7C9F" w:rsidRPr="00EF12FB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sz w:val="24"/>
          <w:szCs w:val="24"/>
          <w:lang w:val="en-US"/>
        </w:rPr>
        <w:t>(Abstract)</w:t>
      </w:r>
    </w:p>
    <w:p w14:paraId="78F7B26A" w14:textId="77777777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i/>
          <w:sz w:val="24"/>
          <w:szCs w:val="24"/>
          <w:lang w:val="en-US"/>
        </w:rPr>
        <w:t>Objective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Presentation of the 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unemployment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variation 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in Polish </w:t>
      </w:r>
      <w:proofErr w:type="spellStart"/>
      <w:r w:rsidRPr="00E75410"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in 2011-2019 </w:t>
      </w:r>
      <w:r>
        <w:rPr>
          <w:rFonts w:asciiTheme="majorBidi" w:hAnsiTheme="majorBidi" w:cstheme="majorBidi"/>
          <w:sz w:val="24"/>
          <w:szCs w:val="24"/>
          <w:lang w:val="en-US"/>
        </w:rPr>
        <w:t>in respect of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the rate and </w:t>
      </w:r>
      <w:r>
        <w:rPr>
          <w:rFonts w:asciiTheme="majorBidi" w:hAnsiTheme="majorBidi" w:cstheme="majorBidi"/>
          <w:sz w:val="24"/>
          <w:szCs w:val="24"/>
          <w:lang w:val="en-US"/>
        </w:rPr>
        <w:t>dynamics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of unemployment</w:t>
      </w:r>
      <w:r>
        <w:rPr>
          <w:rFonts w:asciiTheme="majorBidi" w:hAnsiTheme="majorBidi" w:cstheme="majorBidi"/>
          <w:sz w:val="24"/>
          <w:szCs w:val="24"/>
          <w:lang w:val="en-US"/>
        </w:rPr>
        <w:t>, i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dentification of the most difficult and the </w:t>
      </w:r>
      <w:r>
        <w:rPr>
          <w:rFonts w:asciiTheme="majorBidi" w:hAnsiTheme="majorBidi" w:cstheme="majorBidi"/>
          <w:sz w:val="24"/>
          <w:szCs w:val="24"/>
          <w:lang w:val="en-US"/>
        </w:rPr>
        <w:t>best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5410">
        <w:rPr>
          <w:rFonts w:asciiTheme="majorBidi" w:hAnsiTheme="majorBidi" w:cstheme="majorBidi"/>
          <w:sz w:val="24"/>
          <w:szCs w:val="24"/>
          <w:lang w:val="en-US"/>
        </w:rPr>
        <w:t>poviat</w:t>
      </w:r>
      <w:proofErr w:type="spellEnd"/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labor markets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the most important economic factors determining the classification of </w:t>
      </w:r>
      <w:proofErr w:type="spellStart"/>
      <w:r w:rsidRPr="00E75410"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due to the unemployment rate and the flow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between employment and unemployment.</w:t>
      </w:r>
    </w:p>
    <w:p w14:paraId="51848BA9" w14:textId="77777777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i/>
          <w:sz w:val="24"/>
          <w:szCs w:val="24"/>
          <w:lang w:val="en-US"/>
        </w:rPr>
        <w:t xml:space="preserve">Research </w:t>
      </w:r>
      <w:r>
        <w:rPr>
          <w:rFonts w:asciiTheme="majorBidi" w:hAnsiTheme="majorBidi" w:cstheme="majorBidi"/>
          <w:i/>
          <w:sz w:val="24"/>
          <w:szCs w:val="24"/>
          <w:lang w:val="en-US"/>
        </w:rPr>
        <w:t>Design &amp;</w:t>
      </w:r>
      <w:r w:rsidRPr="00E75410">
        <w:rPr>
          <w:rFonts w:asciiTheme="majorBidi" w:hAnsiTheme="majorBidi" w:cstheme="majorBidi"/>
          <w:i/>
          <w:sz w:val="24"/>
          <w:szCs w:val="24"/>
          <w:lang w:val="en-US"/>
        </w:rPr>
        <w:t>Methods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Classification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markets based on the mean and standard deviation and econometric analyses using logit models of binominal variables.</w:t>
      </w:r>
    </w:p>
    <w:p w14:paraId="64EEC110" w14:textId="00A2208C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i/>
          <w:sz w:val="24"/>
          <w:szCs w:val="24"/>
          <w:lang w:val="en-US"/>
        </w:rPr>
        <w:t>Findings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Significant variation of the level and dynamics of unemployment in the Polish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 the years 2011-2019 was confirmed.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with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favourable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 situation are located in the western part of Poland and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with the most difficult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markets are located in the eastern part of the country. The highest variation of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markets takes place in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Mazowieckie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voivodeship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There are three economic determinants which increase the chances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to be included into the group with the low unemployment rates and at least moderate levels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flows, namely: high levels of fixed assets, sold production of industry and entrepreneurship levels. </w:t>
      </w:r>
    </w:p>
    <w:p w14:paraId="36716784" w14:textId="77777777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i/>
          <w:sz w:val="24"/>
          <w:szCs w:val="24"/>
          <w:lang w:val="en-US"/>
        </w:rPr>
        <w:t>Implications/Recommendations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the years 2011-2019 there occurred a decrease of average unemployment rates and some increase of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flows between employment and unemployment, but these processes have not significantly changed the grouping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thr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markets. Significant variation of the level and dynamics of unemployment in the Polish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is still maintained. The estimations of the model indicate the spatial structure of economic stimulants will determine differences between local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markets with respect to the level and dynamics of unemployment..</w:t>
      </w:r>
    </w:p>
    <w:p w14:paraId="379D1197" w14:textId="77777777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i/>
          <w:sz w:val="24"/>
          <w:szCs w:val="24"/>
          <w:lang w:val="en-US"/>
        </w:rPr>
        <w:t>Contribution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It was approved the variation of unemployment in the Polish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results both from the variation of unemployment rates and variation of the dynamics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flows between unemployment and employment. Unemployment variation in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was described for two stages of the business cycle and the most important factors determining the level and dynamics of unemployment in 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were identified.</w:t>
      </w:r>
    </w:p>
    <w:p w14:paraId="1FB89125" w14:textId="77777777" w:rsidR="001B7C9F" w:rsidRPr="00E75410" w:rsidRDefault="001B7C9F" w:rsidP="001B7C9F">
      <w:pPr>
        <w:spacing w:line="360" w:lineRule="auto"/>
        <w:jc w:val="thaiDistribute"/>
        <w:rPr>
          <w:rFonts w:asciiTheme="majorBidi" w:hAnsiTheme="majorBidi" w:cstheme="majorBidi"/>
          <w:sz w:val="24"/>
          <w:szCs w:val="24"/>
          <w:lang w:val="en-US"/>
        </w:rPr>
      </w:pPr>
      <w:r w:rsidRPr="00E75410">
        <w:rPr>
          <w:rFonts w:asciiTheme="majorBidi" w:hAnsiTheme="majorBidi" w:cstheme="majorBidi"/>
          <w:b/>
          <w:sz w:val="24"/>
          <w:szCs w:val="24"/>
          <w:lang w:val="en-US"/>
        </w:rPr>
        <w:t>Keywords</w:t>
      </w:r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E75410">
        <w:rPr>
          <w:rFonts w:asciiTheme="majorBidi" w:hAnsiTheme="majorBidi" w:cstheme="majorBidi"/>
          <w:sz w:val="24"/>
          <w:szCs w:val="24"/>
          <w:lang w:val="en-US"/>
        </w:rPr>
        <w:t>poviat</w:t>
      </w:r>
      <w:proofErr w:type="spellEnd"/>
      <w:r w:rsidRPr="00E75410">
        <w:rPr>
          <w:rFonts w:asciiTheme="majorBidi" w:hAnsiTheme="majorBidi" w:cstheme="majorBidi"/>
          <w:sz w:val="24"/>
          <w:szCs w:val="24"/>
          <w:lang w:val="en-US"/>
        </w:rPr>
        <w:t xml:space="preserve"> labor markets, unemployment rate, flows between unemployment and employment, spatial diversity, </w:t>
      </w:r>
      <w:proofErr w:type="spellStart"/>
      <w:r w:rsidRPr="00E75410">
        <w:rPr>
          <w:rFonts w:asciiTheme="majorBidi" w:hAnsiTheme="majorBidi" w:cstheme="majorBidi"/>
          <w:sz w:val="24"/>
          <w:szCs w:val="24"/>
          <w:lang w:val="en-US"/>
        </w:rPr>
        <w:t>poviats</w:t>
      </w:r>
      <w:proofErr w:type="spellEnd"/>
      <w:r w:rsidRPr="00E75410">
        <w:rPr>
          <w:rFonts w:asciiTheme="majorBidi" w:hAnsiTheme="majorBidi" w:cstheme="majorBidi"/>
          <w:sz w:val="24"/>
          <w:szCs w:val="24"/>
          <w:lang w:val="en-US"/>
        </w:rPr>
        <w:t>, logit model of binomial variables.</w:t>
      </w:r>
    </w:p>
    <w:p w14:paraId="05719D7B" w14:textId="66C7450B" w:rsidR="00896A86" w:rsidRDefault="00896A86" w:rsidP="00026EE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96A86" w:rsidSect="009641D8">
      <w:footerReference w:type="default" r:id="rId9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ACEAA" w14:textId="77777777" w:rsidR="00D91801" w:rsidRDefault="00D91801" w:rsidP="00DE3CA9">
      <w:pPr>
        <w:spacing w:after="0" w:line="240" w:lineRule="auto"/>
      </w:pPr>
      <w:r>
        <w:separator/>
      </w:r>
    </w:p>
  </w:endnote>
  <w:endnote w:type="continuationSeparator" w:id="0">
    <w:p w14:paraId="74E5871D" w14:textId="77777777" w:rsidR="00D91801" w:rsidRDefault="00D91801" w:rsidP="00DE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381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D803F6" w14:textId="7A081794" w:rsidR="006E41DF" w:rsidRPr="00F31677" w:rsidRDefault="006E41DF">
        <w:pPr>
          <w:pStyle w:val="Stopka"/>
          <w:jc w:val="right"/>
          <w:rPr>
            <w:rFonts w:ascii="Times New Roman" w:hAnsi="Times New Roman" w:cs="Times New Roman"/>
          </w:rPr>
        </w:pPr>
        <w:r w:rsidRPr="00F31677">
          <w:rPr>
            <w:rFonts w:ascii="Times New Roman" w:hAnsi="Times New Roman" w:cs="Times New Roman"/>
          </w:rPr>
          <w:fldChar w:fldCharType="begin"/>
        </w:r>
        <w:r w:rsidRPr="00F31677">
          <w:rPr>
            <w:rFonts w:ascii="Times New Roman" w:hAnsi="Times New Roman" w:cs="Times New Roman"/>
          </w:rPr>
          <w:instrText>PAGE   \* MERGEFORMAT</w:instrText>
        </w:r>
        <w:r w:rsidRPr="00F31677">
          <w:rPr>
            <w:rFonts w:ascii="Times New Roman" w:hAnsi="Times New Roman" w:cs="Times New Roman"/>
          </w:rPr>
          <w:fldChar w:fldCharType="separate"/>
        </w:r>
        <w:r w:rsidR="00DE2B75">
          <w:rPr>
            <w:rFonts w:ascii="Times New Roman" w:hAnsi="Times New Roman" w:cs="Times New Roman"/>
            <w:noProof/>
          </w:rPr>
          <w:t>1</w:t>
        </w:r>
        <w:r w:rsidRPr="00F31677">
          <w:rPr>
            <w:rFonts w:ascii="Times New Roman" w:hAnsi="Times New Roman" w:cs="Times New Roman"/>
          </w:rPr>
          <w:fldChar w:fldCharType="end"/>
        </w:r>
      </w:p>
    </w:sdtContent>
  </w:sdt>
  <w:p w14:paraId="03D33413" w14:textId="12556A34" w:rsidR="006E41DF" w:rsidRPr="00AA6238" w:rsidRDefault="006E41DF" w:rsidP="00AA6238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A5DBF" w14:textId="77777777" w:rsidR="00D91801" w:rsidRDefault="00D91801" w:rsidP="00DE3CA9">
      <w:pPr>
        <w:spacing w:after="0" w:line="240" w:lineRule="auto"/>
      </w:pPr>
      <w:r>
        <w:separator/>
      </w:r>
    </w:p>
  </w:footnote>
  <w:footnote w:type="continuationSeparator" w:id="0">
    <w:p w14:paraId="7E9F5658" w14:textId="77777777" w:rsidR="00D91801" w:rsidRDefault="00D91801" w:rsidP="00DE3CA9">
      <w:pPr>
        <w:spacing w:after="0" w:line="240" w:lineRule="auto"/>
      </w:pPr>
      <w:r>
        <w:continuationSeparator/>
      </w:r>
    </w:p>
  </w:footnote>
  <w:footnote w:id="1">
    <w:p w14:paraId="4E3E7B00" w14:textId="04206D13" w:rsidR="006E41DF" w:rsidRPr="00A37BD4" w:rsidRDefault="006E41DF" w:rsidP="00A37BD4">
      <w:pPr>
        <w:pStyle w:val="Tekstprzypisudolnego"/>
        <w:rPr>
          <w:rFonts w:ascii="Times New Roman" w:hAnsi="Times New Roman" w:cs="Times New Roman"/>
        </w:rPr>
      </w:pPr>
      <w:r w:rsidRPr="00AF51E9">
        <w:rPr>
          <w:rStyle w:val="Odwoanieprzypisudolnego"/>
          <w:rFonts w:ascii="Times New Roman" w:hAnsi="Times New Roman" w:cs="Times New Roman"/>
        </w:rPr>
        <w:footnoteRef/>
      </w:r>
      <w:r w:rsidRPr="00AF51E9">
        <w:rPr>
          <w:rFonts w:ascii="Times New Roman" w:hAnsi="Times New Roman" w:cs="Times New Roman"/>
        </w:rPr>
        <w:t xml:space="preserve"> Uniwersytet Łódzki, Wydział Ekonomiczno-Socjolog</w:t>
      </w:r>
      <w:r>
        <w:rPr>
          <w:rFonts w:ascii="Times New Roman" w:hAnsi="Times New Roman" w:cs="Times New Roman"/>
        </w:rPr>
        <w:t xml:space="preserve">iczny, Katedra Makroekonomii, </w:t>
      </w:r>
      <w:r w:rsidRPr="00A37BD4">
        <w:rPr>
          <w:rFonts w:ascii="Times New Roman" w:hAnsi="Times New Roman" w:cs="Times New Roman"/>
        </w:rPr>
        <w:t>ul. Rewolucji 1905 r. nr 41</w:t>
      </w:r>
      <w:r>
        <w:rPr>
          <w:rFonts w:ascii="Times New Roman" w:hAnsi="Times New Roman" w:cs="Times New Roman"/>
        </w:rPr>
        <w:t xml:space="preserve">, </w:t>
      </w:r>
      <w:r w:rsidRPr="00A37BD4">
        <w:rPr>
          <w:rFonts w:ascii="Times New Roman" w:hAnsi="Times New Roman" w:cs="Times New Roman"/>
        </w:rPr>
        <w:t>90-214 Łódź</w:t>
      </w:r>
      <w:r>
        <w:rPr>
          <w:rFonts w:ascii="Times New Roman" w:hAnsi="Times New Roman" w:cs="Times New Roman"/>
        </w:rPr>
        <w:t xml:space="preserve">, </w:t>
      </w:r>
      <w:r w:rsidRPr="00AF51E9">
        <w:rPr>
          <w:rFonts w:ascii="Times New Roman" w:hAnsi="Times New Roman" w:cs="Times New Roman"/>
        </w:rPr>
        <w:t xml:space="preserve"> e-mail: </w:t>
      </w:r>
      <w:hyperlink r:id="rId1" w:history="1"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eugeniusz.kwiatkowski@uni.lodz.pl</w:t>
        </w:r>
        <w:proofErr w:type="spellEnd"/>
      </w:hyperlink>
      <w:r w:rsidRPr="00A37BD4">
        <w:rPr>
          <w:rFonts w:ascii="Times New Roman" w:hAnsi="Times New Roman" w:cs="Times New Roman"/>
        </w:rPr>
        <w:t xml:space="preserve">, </w:t>
      </w:r>
      <w:proofErr w:type="spellStart"/>
      <w:r w:rsidRPr="00A37BD4">
        <w:rPr>
          <w:rFonts w:ascii="Times New Roman" w:hAnsi="Times New Roman" w:cs="Times New Roman"/>
        </w:rPr>
        <w:t>ORCID</w:t>
      </w:r>
      <w:proofErr w:type="spellEnd"/>
      <w:r w:rsidRPr="00A37BD4">
        <w:rPr>
          <w:rFonts w:ascii="Times New Roman" w:hAnsi="Times New Roman" w:cs="Times New Roman"/>
        </w:rPr>
        <w:t xml:space="preserve">: </w:t>
      </w:r>
      <w:hyperlink r:id="rId2" w:history="1"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https</w:t>
        </w:r>
        <w:proofErr w:type="spellEnd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://</w:t>
        </w:r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orcid.org</w:t>
        </w:r>
        <w:proofErr w:type="spellEnd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/0000-0001-9030-1664</w:t>
        </w:r>
      </w:hyperlink>
      <w:r w:rsidRPr="00A37BD4">
        <w:rPr>
          <w:rFonts w:ascii="Times New Roman" w:hAnsi="Times New Roman" w:cs="Times New Roman"/>
        </w:rPr>
        <w:t>.</w:t>
      </w:r>
    </w:p>
  </w:footnote>
  <w:footnote w:id="2">
    <w:p w14:paraId="4E0184F1" w14:textId="6714268B" w:rsidR="006E41DF" w:rsidRPr="00A37BD4" w:rsidRDefault="006E41DF" w:rsidP="001E6899">
      <w:pPr>
        <w:pStyle w:val="Tekstprzypisudolnego"/>
        <w:rPr>
          <w:rFonts w:ascii="Times New Roman" w:hAnsi="Times New Roman" w:cs="Times New Roman"/>
        </w:rPr>
      </w:pPr>
      <w:r w:rsidRPr="00A37BD4">
        <w:rPr>
          <w:rStyle w:val="Odwoanieprzypisudolnego"/>
          <w:rFonts w:ascii="Times New Roman" w:hAnsi="Times New Roman" w:cs="Times New Roman"/>
        </w:rPr>
        <w:footnoteRef/>
      </w:r>
      <w:r w:rsidRPr="00A37BD4">
        <w:rPr>
          <w:rFonts w:ascii="Times New Roman" w:hAnsi="Times New Roman" w:cs="Times New Roman"/>
        </w:rPr>
        <w:t xml:space="preserve"> Biuro Planowania Przestrzennego Województwa Łódzkiego w Łodzi, Regionalne Obserwatorium Terytorialne, </w:t>
      </w:r>
      <w:r w:rsidRPr="001E6899">
        <w:rPr>
          <w:rFonts w:ascii="Times New Roman" w:hAnsi="Times New Roman" w:cs="Times New Roman"/>
        </w:rPr>
        <w:t>al. Piłsudskiego 12,</w:t>
      </w:r>
      <w:r>
        <w:rPr>
          <w:rFonts w:ascii="Times New Roman" w:hAnsi="Times New Roman" w:cs="Times New Roman"/>
        </w:rPr>
        <w:t xml:space="preserve"> </w:t>
      </w:r>
      <w:r w:rsidRPr="001E6899">
        <w:rPr>
          <w:rFonts w:ascii="Times New Roman" w:hAnsi="Times New Roman" w:cs="Times New Roman"/>
        </w:rPr>
        <w:t>90-051 Łódź</w:t>
      </w:r>
      <w:r>
        <w:rPr>
          <w:rFonts w:ascii="Times New Roman" w:hAnsi="Times New Roman" w:cs="Times New Roman"/>
        </w:rPr>
        <w:t xml:space="preserve">, </w:t>
      </w:r>
      <w:r w:rsidRPr="00A37BD4">
        <w:rPr>
          <w:rFonts w:ascii="Times New Roman" w:hAnsi="Times New Roman" w:cs="Times New Roman"/>
        </w:rPr>
        <w:t xml:space="preserve">email: </w:t>
      </w:r>
      <w:hyperlink r:id="rId3" w:history="1"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emodranka@wp.pl</w:t>
        </w:r>
        <w:proofErr w:type="spellEnd"/>
      </w:hyperlink>
      <w:r w:rsidRPr="00A37BD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ORCID</w:t>
      </w:r>
      <w:proofErr w:type="spellEnd"/>
      <w:r>
        <w:rPr>
          <w:rFonts w:ascii="Times New Roman" w:hAnsi="Times New Roman" w:cs="Times New Roman"/>
        </w:rPr>
        <w:t>:</w:t>
      </w:r>
      <w:r w:rsidRPr="00A37BD4">
        <w:rPr>
          <w:rFonts w:ascii="Times New Roman" w:hAnsi="Times New Roman" w:cs="Times New Roman"/>
        </w:rPr>
        <w:t xml:space="preserve"> </w:t>
      </w:r>
      <w:hyperlink r:id="rId4" w:history="1"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https</w:t>
        </w:r>
        <w:proofErr w:type="spellEnd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://</w:t>
        </w:r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orcid.org</w:t>
        </w:r>
        <w:proofErr w:type="spellEnd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/0000-0002-2712-</w:t>
        </w:r>
        <w:proofErr w:type="spellStart"/>
        <w:r w:rsidRPr="00A37BD4">
          <w:rPr>
            <w:rStyle w:val="Hipercze"/>
            <w:rFonts w:ascii="Times New Roman" w:hAnsi="Times New Roman" w:cs="Times New Roman"/>
            <w:color w:val="auto"/>
            <w:u w:val="none"/>
          </w:rPr>
          <w:t>480X</w:t>
        </w:r>
        <w:proofErr w:type="spellEnd"/>
      </w:hyperlink>
      <w:r w:rsidRPr="00A37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875"/>
    <w:multiLevelType w:val="hybridMultilevel"/>
    <w:tmpl w:val="7CBA7626"/>
    <w:lvl w:ilvl="0" w:tplc="40288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82D02"/>
    <w:multiLevelType w:val="hybridMultilevel"/>
    <w:tmpl w:val="C3F4FE08"/>
    <w:lvl w:ilvl="0" w:tplc="40288D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541D22"/>
    <w:multiLevelType w:val="hybridMultilevel"/>
    <w:tmpl w:val="9C666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54BC4"/>
    <w:multiLevelType w:val="hybridMultilevel"/>
    <w:tmpl w:val="E4FAD5E6"/>
    <w:lvl w:ilvl="0" w:tplc="40288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0288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147DB"/>
    <w:multiLevelType w:val="hybridMultilevel"/>
    <w:tmpl w:val="9C74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B7559"/>
    <w:multiLevelType w:val="hybridMultilevel"/>
    <w:tmpl w:val="336AB744"/>
    <w:lvl w:ilvl="0" w:tplc="40288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A4311"/>
    <w:multiLevelType w:val="hybridMultilevel"/>
    <w:tmpl w:val="E842CAC8"/>
    <w:lvl w:ilvl="0" w:tplc="F0521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727E9"/>
    <w:multiLevelType w:val="hybridMultilevel"/>
    <w:tmpl w:val="B2365972"/>
    <w:lvl w:ilvl="0" w:tplc="40288D5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05546DD"/>
    <w:multiLevelType w:val="hybridMultilevel"/>
    <w:tmpl w:val="8A240B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B90D88"/>
    <w:multiLevelType w:val="hybridMultilevel"/>
    <w:tmpl w:val="BC465DA2"/>
    <w:lvl w:ilvl="0" w:tplc="40288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A9"/>
    <w:rsid w:val="00004718"/>
    <w:rsid w:val="00006675"/>
    <w:rsid w:val="000115CE"/>
    <w:rsid w:val="00012A35"/>
    <w:rsid w:val="00012BE0"/>
    <w:rsid w:val="000168EE"/>
    <w:rsid w:val="00020762"/>
    <w:rsid w:val="00026EED"/>
    <w:rsid w:val="00031055"/>
    <w:rsid w:val="0003640C"/>
    <w:rsid w:val="00036DA2"/>
    <w:rsid w:val="00040381"/>
    <w:rsid w:val="00045058"/>
    <w:rsid w:val="00045521"/>
    <w:rsid w:val="00045868"/>
    <w:rsid w:val="000458D7"/>
    <w:rsid w:val="00045CEC"/>
    <w:rsid w:val="00051A67"/>
    <w:rsid w:val="00065B7B"/>
    <w:rsid w:val="0006616E"/>
    <w:rsid w:val="000664C8"/>
    <w:rsid w:val="00070FFA"/>
    <w:rsid w:val="000803FE"/>
    <w:rsid w:val="00083C98"/>
    <w:rsid w:val="00086549"/>
    <w:rsid w:val="0009081B"/>
    <w:rsid w:val="00090A1B"/>
    <w:rsid w:val="000A1FB8"/>
    <w:rsid w:val="000A72BB"/>
    <w:rsid w:val="000C19C5"/>
    <w:rsid w:val="000C1CE7"/>
    <w:rsid w:val="000C31FC"/>
    <w:rsid w:val="000C3EF7"/>
    <w:rsid w:val="000C4F4D"/>
    <w:rsid w:val="000C581B"/>
    <w:rsid w:val="000D2BEA"/>
    <w:rsid w:val="000D36D1"/>
    <w:rsid w:val="000D582C"/>
    <w:rsid w:val="000D6C8A"/>
    <w:rsid w:val="000F12A0"/>
    <w:rsid w:val="000F12E8"/>
    <w:rsid w:val="000F31D3"/>
    <w:rsid w:val="00102C4B"/>
    <w:rsid w:val="001062A1"/>
    <w:rsid w:val="001067DD"/>
    <w:rsid w:val="00111D9B"/>
    <w:rsid w:val="00124927"/>
    <w:rsid w:val="00125926"/>
    <w:rsid w:val="00136B34"/>
    <w:rsid w:val="00141CC4"/>
    <w:rsid w:val="0014272B"/>
    <w:rsid w:val="00145850"/>
    <w:rsid w:val="00145914"/>
    <w:rsid w:val="00152D11"/>
    <w:rsid w:val="00156784"/>
    <w:rsid w:val="001571D6"/>
    <w:rsid w:val="001620D4"/>
    <w:rsid w:val="00162BB1"/>
    <w:rsid w:val="00165317"/>
    <w:rsid w:val="00171073"/>
    <w:rsid w:val="00175F0B"/>
    <w:rsid w:val="00177065"/>
    <w:rsid w:val="00180FF6"/>
    <w:rsid w:val="0018344D"/>
    <w:rsid w:val="00186B17"/>
    <w:rsid w:val="001920F1"/>
    <w:rsid w:val="00195440"/>
    <w:rsid w:val="001A1187"/>
    <w:rsid w:val="001A18E2"/>
    <w:rsid w:val="001A32C9"/>
    <w:rsid w:val="001A4D9A"/>
    <w:rsid w:val="001A4FB9"/>
    <w:rsid w:val="001A61F5"/>
    <w:rsid w:val="001A61F9"/>
    <w:rsid w:val="001A6C2C"/>
    <w:rsid w:val="001B1621"/>
    <w:rsid w:val="001B205C"/>
    <w:rsid w:val="001B2E12"/>
    <w:rsid w:val="001B3F46"/>
    <w:rsid w:val="001B549F"/>
    <w:rsid w:val="001B66F0"/>
    <w:rsid w:val="001B7C9F"/>
    <w:rsid w:val="001C06E0"/>
    <w:rsid w:val="001C1BC1"/>
    <w:rsid w:val="001C2D56"/>
    <w:rsid w:val="001C3D38"/>
    <w:rsid w:val="001C4307"/>
    <w:rsid w:val="001D083C"/>
    <w:rsid w:val="001D2605"/>
    <w:rsid w:val="001D2C91"/>
    <w:rsid w:val="001D5E18"/>
    <w:rsid w:val="001E0338"/>
    <w:rsid w:val="001E2840"/>
    <w:rsid w:val="001E33F9"/>
    <w:rsid w:val="001E51D4"/>
    <w:rsid w:val="001E6899"/>
    <w:rsid w:val="001E7A13"/>
    <w:rsid w:val="001F3FD4"/>
    <w:rsid w:val="001F52F8"/>
    <w:rsid w:val="001F5E0C"/>
    <w:rsid w:val="001F6C99"/>
    <w:rsid w:val="002040BF"/>
    <w:rsid w:val="00204C69"/>
    <w:rsid w:val="00207B41"/>
    <w:rsid w:val="00210DDB"/>
    <w:rsid w:val="002144C7"/>
    <w:rsid w:val="00216573"/>
    <w:rsid w:val="00220FC7"/>
    <w:rsid w:val="00226674"/>
    <w:rsid w:val="002269EA"/>
    <w:rsid w:val="00231C73"/>
    <w:rsid w:val="00232A9C"/>
    <w:rsid w:val="002345C4"/>
    <w:rsid w:val="00236DF4"/>
    <w:rsid w:val="00240527"/>
    <w:rsid w:val="0024650B"/>
    <w:rsid w:val="002472E9"/>
    <w:rsid w:val="00252481"/>
    <w:rsid w:val="0025331C"/>
    <w:rsid w:val="002559DA"/>
    <w:rsid w:val="00255F7F"/>
    <w:rsid w:val="00260A7E"/>
    <w:rsid w:val="002613ED"/>
    <w:rsid w:val="00262EF8"/>
    <w:rsid w:val="0027286A"/>
    <w:rsid w:val="00273112"/>
    <w:rsid w:val="002747D3"/>
    <w:rsid w:val="0028085D"/>
    <w:rsid w:val="00282C68"/>
    <w:rsid w:val="00283AE3"/>
    <w:rsid w:val="00285BFC"/>
    <w:rsid w:val="002877EA"/>
    <w:rsid w:val="00291214"/>
    <w:rsid w:val="00292133"/>
    <w:rsid w:val="0029256E"/>
    <w:rsid w:val="0029450F"/>
    <w:rsid w:val="002A28C9"/>
    <w:rsid w:val="002A6443"/>
    <w:rsid w:val="002A673B"/>
    <w:rsid w:val="002B0E0C"/>
    <w:rsid w:val="002B1FA7"/>
    <w:rsid w:val="002B5902"/>
    <w:rsid w:val="002B62E0"/>
    <w:rsid w:val="002B7FD6"/>
    <w:rsid w:val="002C022E"/>
    <w:rsid w:val="002C29EA"/>
    <w:rsid w:val="002C2C9F"/>
    <w:rsid w:val="002C31E2"/>
    <w:rsid w:val="002C544C"/>
    <w:rsid w:val="002C5E34"/>
    <w:rsid w:val="002D0A17"/>
    <w:rsid w:val="002D2194"/>
    <w:rsid w:val="002D3999"/>
    <w:rsid w:val="002D3A01"/>
    <w:rsid w:val="002D4A21"/>
    <w:rsid w:val="002E0B8A"/>
    <w:rsid w:val="002E192E"/>
    <w:rsid w:val="002E32A5"/>
    <w:rsid w:val="002E69D3"/>
    <w:rsid w:val="002F398C"/>
    <w:rsid w:val="002F551C"/>
    <w:rsid w:val="002F57FF"/>
    <w:rsid w:val="002F5D59"/>
    <w:rsid w:val="00306879"/>
    <w:rsid w:val="00310474"/>
    <w:rsid w:val="00315AD9"/>
    <w:rsid w:val="00316A30"/>
    <w:rsid w:val="00322CC1"/>
    <w:rsid w:val="003235D5"/>
    <w:rsid w:val="00332EEC"/>
    <w:rsid w:val="003425D7"/>
    <w:rsid w:val="00343BA7"/>
    <w:rsid w:val="003558BB"/>
    <w:rsid w:val="00374692"/>
    <w:rsid w:val="00376BEB"/>
    <w:rsid w:val="00383651"/>
    <w:rsid w:val="00385898"/>
    <w:rsid w:val="0039188D"/>
    <w:rsid w:val="00392265"/>
    <w:rsid w:val="00394706"/>
    <w:rsid w:val="003A15EC"/>
    <w:rsid w:val="003A4BCA"/>
    <w:rsid w:val="003A78CC"/>
    <w:rsid w:val="003B0251"/>
    <w:rsid w:val="003B1EF3"/>
    <w:rsid w:val="003B51CB"/>
    <w:rsid w:val="003B7DA9"/>
    <w:rsid w:val="003C0A4E"/>
    <w:rsid w:val="003C21CD"/>
    <w:rsid w:val="003C28CD"/>
    <w:rsid w:val="003C4D03"/>
    <w:rsid w:val="003D126B"/>
    <w:rsid w:val="003D6904"/>
    <w:rsid w:val="003D7171"/>
    <w:rsid w:val="003E1574"/>
    <w:rsid w:val="003E4845"/>
    <w:rsid w:val="003E5970"/>
    <w:rsid w:val="003F4A40"/>
    <w:rsid w:val="003F4F03"/>
    <w:rsid w:val="0040170C"/>
    <w:rsid w:val="00410A10"/>
    <w:rsid w:val="00421326"/>
    <w:rsid w:val="004317BB"/>
    <w:rsid w:val="00432D85"/>
    <w:rsid w:val="00433455"/>
    <w:rsid w:val="0043364C"/>
    <w:rsid w:val="00435847"/>
    <w:rsid w:val="0043682B"/>
    <w:rsid w:val="00443199"/>
    <w:rsid w:val="00443876"/>
    <w:rsid w:val="00444352"/>
    <w:rsid w:val="00447027"/>
    <w:rsid w:val="0045003E"/>
    <w:rsid w:val="00452B13"/>
    <w:rsid w:val="00452F85"/>
    <w:rsid w:val="00455589"/>
    <w:rsid w:val="004602E4"/>
    <w:rsid w:val="00462322"/>
    <w:rsid w:val="00463A52"/>
    <w:rsid w:val="00464BD8"/>
    <w:rsid w:val="00475B9D"/>
    <w:rsid w:val="00476C0E"/>
    <w:rsid w:val="00477713"/>
    <w:rsid w:val="004851DC"/>
    <w:rsid w:val="00487376"/>
    <w:rsid w:val="00487F2C"/>
    <w:rsid w:val="00492401"/>
    <w:rsid w:val="00492DAD"/>
    <w:rsid w:val="00493137"/>
    <w:rsid w:val="00496E9F"/>
    <w:rsid w:val="004A3CE2"/>
    <w:rsid w:val="004A5FFB"/>
    <w:rsid w:val="004A6B6A"/>
    <w:rsid w:val="004A7415"/>
    <w:rsid w:val="004B3D87"/>
    <w:rsid w:val="004B79DB"/>
    <w:rsid w:val="004C1D2A"/>
    <w:rsid w:val="004C1D60"/>
    <w:rsid w:val="004C65A7"/>
    <w:rsid w:val="004D1648"/>
    <w:rsid w:val="004D24B5"/>
    <w:rsid w:val="004D2F23"/>
    <w:rsid w:val="004D4DA7"/>
    <w:rsid w:val="004D51EE"/>
    <w:rsid w:val="004F4E99"/>
    <w:rsid w:val="00506497"/>
    <w:rsid w:val="00522A99"/>
    <w:rsid w:val="00523B9C"/>
    <w:rsid w:val="00523D6E"/>
    <w:rsid w:val="00525542"/>
    <w:rsid w:val="00530B7A"/>
    <w:rsid w:val="005322D5"/>
    <w:rsid w:val="00532D9C"/>
    <w:rsid w:val="00532E46"/>
    <w:rsid w:val="0053457B"/>
    <w:rsid w:val="005425E2"/>
    <w:rsid w:val="00542CDE"/>
    <w:rsid w:val="00545463"/>
    <w:rsid w:val="00546368"/>
    <w:rsid w:val="00554527"/>
    <w:rsid w:val="00554F4A"/>
    <w:rsid w:val="00557770"/>
    <w:rsid w:val="00557912"/>
    <w:rsid w:val="00561F0C"/>
    <w:rsid w:val="00563F00"/>
    <w:rsid w:val="005655C1"/>
    <w:rsid w:val="0056619D"/>
    <w:rsid w:val="0057217E"/>
    <w:rsid w:val="00572C61"/>
    <w:rsid w:val="00577A99"/>
    <w:rsid w:val="0058038F"/>
    <w:rsid w:val="0058202A"/>
    <w:rsid w:val="00586984"/>
    <w:rsid w:val="00590567"/>
    <w:rsid w:val="00593B1F"/>
    <w:rsid w:val="00595578"/>
    <w:rsid w:val="00596140"/>
    <w:rsid w:val="005A040A"/>
    <w:rsid w:val="005A3AC7"/>
    <w:rsid w:val="005A54EF"/>
    <w:rsid w:val="005B2261"/>
    <w:rsid w:val="005B41D4"/>
    <w:rsid w:val="005B4872"/>
    <w:rsid w:val="005B6BB3"/>
    <w:rsid w:val="005C20AD"/>
    <w:rsid w:val="005D3F4F"/>
    <w:rsid w:val="005D53BB"/>
    <w:rsid w:val="005E45FC"/>
    <w:rsid w:val="005E4FE0"/>
    <w:rsid w:val="005E66FF"/>
    <w:rsid w:val="005F2C1C"/>
    <w:rsid w:val="005F34EE"/>
    <w:rsid w:val="00601144"/>
    <w:rsid w:val="00612869"/>
    <w:rsid w:val="00614606"/>
    <w:rsid w:val="0061605A"/>
    <w:rsid w:val="00621802"/>
    <w:rsid w:val="00622533"/>
    <w:rsid w:val="00630D60"/>
    <w:rsid w:val="006328D5"/>
    <w:rsid w:val="00634B05"/>
    <w:rsid w:val="006371A8"/>
    <w:rsid w:val="006379F6"/>
    <w:rsid w:val="00640EAA"/>
    <w:rsid w:val="00646105"/>
    <w:rsid w:val="00646274"/>
    <w:rsid w:val="006474A4"/>
    <w:rsid w:val="0065006B"/>
    <w:rsid w:val="00651893"/>
    <w:rsid w:val="0065377F"/>
    <w:rsid w:val="006563D5"/>
    <w:rsid w:val="006570D2"/>
    <w:rsid w:val="00657BFB"/>
    <w:rsid w:val="00663F75"/>
    <w:rsid w:val="00665610"/>
    <w:rsid w:val="00671C09"/>
    <w:rsid w:val="0067212C"/>
    <w:rsid w:val="00672917"/>
    <w:rsid w:val="006731AC"/>
    <w:rsid w:val="00675A98"/>
    <w:rsid w:val="006760E8"/>
    <w:rsid w:val="00682D10"/>
    <w:rsid w:val="0069129B"/>
    <w:rsid w:val="0069209C"/>
    <w:rsid w:val="00693EDB"/>
    <w:rsid w:val="00694267"/>
    <w:rsid w:val="00695810"/>
    <w:rsid w:val="006A49DB"/>
    <w:rsid w:val="006A6B8A"/>
    <w:rsid w:val="006A7505"/>
    <w:rsid w:val="006B07BC"/>
    <w:rsid w:val="006B45A7"/>
    <w:rsid w:val="006C0C1C"/>
    <w:rsid w:val="006C26A7"/>
    <w:rsid w:val="006C61D8"/>
    <w:rsid w:val="006C7466"/>
    <w:rsid w:val="006C79EF"/>
    <w:rsid w:val="006D675D"/>
    <w:rsid w:val="006E1777"/>
    <w:rsid w:val="006E3B09"/>
    <w:rsid w:val="006E41DF"/>
    <w:rsid w:val="006E4914"/>
    <w:rsid w:val="006E5A6F"/>
    <w:rsid w:val="006F0FF3"/>
    <w:rsid w:val="00702802"/>
    <w:rsid w:val="00704656"/>
    <w:rsid w:val="00713540"/>
    <w:rsid w:val="00713C40"/>
    <w:rsid w:val="007147FD"/>
    <w:rsid w:val="00725488"/>
    <w:rsid w:val="00733CB3"/>
    <w:rsid w:val="00735E1F"/>
    <w:rsid w:val="007368E8"/>
    <w:rsid w:val="007411FB"/>
    <w:rsid w:val="00741C80"/>
    <w:rsid w:val="00743870"/>
    <w:rsid w:val="007459AC"/>
    <w:rsid w:val="00746A15"/>
    <w:rsid w:val="00747FF4"/>
    <w:rsid w:val="00752072"/>
    <w:rsid w:val="007530B4"/>
    <w:rsid w:val="0075683E"/>
    <w:rsid w:val="007608E7"/>
    <w:rsid w:val="00762EC7"/>
    <w:rsid w:val="00763160"/>
    <w:rsid w:val="007634FA"/>
    <w:rsid w:val="007756F7"/>
    <w:rsid w:val="00791515"/>
    <w:rsid w:val="00792671"/>
    <w:rsid w:val="00792EA8"/>
    <w:rsid w:val="00792EF5"/>
    <w:rsid w:val="00793A9D"/>
    <w:rsid w:val="00795A8A"/>
    <w:rsid w:val="0079653E"/>
    <w:rsid w:val="007A2E08"/>
    <w:rsid w:val="007A4FC5"/>
    <w:rsid w:val="007B5D66"/>
    <w:rsid w:val="007B70AC"/>
    <w:rsid w:val="007C053D"/>
    <w:rsid w:val="007C1BC4"/>
    <w:rsid w:val="007C4AF0"/>
    <w:rsid w:val="007D141D"/>
    <w:rsid w:val="007D58C7"/>
    <w:rsid w:val="007D7A65"/>
    <w:rsid w:val="007E46B7"/>
    <w:rsid w:val="007E7457"/>
    <w:rsid w:val="007E7B04"/>
    <w:rsid w:val="007E7E3B"/>
    <w:rsid w:val="007F1FEC"/>
    <w:rsid w:val="007F39D9"/>
    <w:rsid w:val="007F5906"/>
    <w:rsid w:val="007F6A71"/>
    <w:rsid w:val="00801C02"/>
    <w:rsid w:val="0080434A"/>
    <w:rsid w:val="008047BC"/>
    <w:rsid w:val="0080558D"/>
    <w:rsid w:val="00806391"/>
    <w:rsid w:val="0081458E"/>
    <w:rsid w:val="00815135"/>
    <w:rsid w:val="008161D2"/>
    <w:rsid w:val="00817BBE"/>
    <w:rsid w:val="00822973"/>
    <w:rsid w:val="00822DFA"/>
    <w:rsid w:val="00824E60"/>
    <w:rsid w:val="008364F8"/>
    <w:rsid w:val="0083693D"/>
    <w:rsid w:val="00837A9E"/>
    <w:rsid w:val="00842BFF"/>
    <w:rsid w:val="00843343"/>
    <w:rsid w:val="00845482"/>
    <w:rsid w:val="0084644C"/>
    <w:rsid w:val="00853473"/>
    <w:rsid w:val="0085766D"/>
    <w:rsid w:val="0086135B"/>
    <w:rsid w:val="008638BC"/>
    <w:rsid w:val="008661D7"/>
    <w:rsid w:val="00871E87"/>
    <w:rsid w:val="008725FB"/>
    <w:rsid w:val="0087693B"/>
    <w:rsid w:val="0087773B"/>
    <w:rsid w:val="0088503C"/>
    <w:rsid w:val="00896102"/>
    <w:rsid w:val="00896755"/>
    <w:rsid w:val="00896A86"/>
    <w:rsid w:val="008A0EAF"/>
    <w:rsid w:val="008A11E1"/>
    <w:rsid w:val="008A24A8"/>
    <w:rsid w:val="008B315C"/>
    <w:rsid w:val="008B3CA6"/>
    <w:rsid w:val="008C29A2"/>
    <w:rsid w:val="008C6BD9"/>
    <w:rsid w:val="008D0B9E"/>
    <w:rsid w:val="008D28B8"/>
    <w:rsid w:val="008D522D"/>
    <w:rsid w:val="008D647E"/>
    <w:rsid w:val="008E2BCB"/>
    <w:rsid w:val="008E5ECD"/>
    <w:rsid w:val="008E65C6"/>
    <w:rsid w:val="008F010A"/>
    <w:rsid w:val="008F28C0"/>
    <w:rsid w:val="008F30BB"/>
    <w:rsid w:val="008F52F8"/>
    <w:rsid w:val="008F5CF7"/>
    <w:rsid w:val="008F71AB"/>
    <w:rsid w:val="00902FC9"/>
    <w:rsid w:val="00905308"/>
    <w:rsid w:val="009074A9"/>
    <w:rsid w:val="00907AE0"/>
    <w:rsid w:val="00910830"/>
    <w:rsid w:val="00910A1C"/>
    <w:rsid w:val="0091404C"/>
    <w:rsid w:val="00916116"/>
    <w:rsid w:val="00922453"/>
    <w:rsid w:val="00925B5C"/>
    <w:rsid w:val="00926ADB"/>
    <w:rsid w:val="00927B4C"/>
    <w:rsid w:val="0093456C"/>
    <w:rsid w:val="00943AD2"/>
    <w:rsid w:val="00944C71"/>
    <w:rsid w:val="009451FC"/>
    <w:rsid w:val="009510C9"/>
    <w:rsid w:val="00954B7C"/>
    <w:rsid w:val="00956836"/>
    <w:rsid w:val="0095713B"/>
    <w:rsid w:val="0095722C"/>
    <w:rsid w:val="00962B13"/>
    <w:rsid w:val="009630A8"/>
    <w:rsid w:val="0096372B"/>
    <w:rsid w:val="009641D8"/>
    <w:rsid w:val="00964789"/>
    <w:rsid w:val="009657D6"/>
    <w:rsid w:val="00965BCC"/>
    <w:rsid w:val="00966D16"/>
    <w:rsid w:val="00970118"/>
    <w:rsid w:val="00970577"/>
    <w:rsid w:val="0097237A"/>
    <w:rsid w:val="00973D03"/>
    <w:rsid w:val="00977F40"/>
    <w:rsid w:val="00980DC8"/>
    <w:rsid w:val="00984C14"/>
    <w:rsid w:val="00986D7B"/>
    <w:rsid w:val="00992A32"/>
    <w:rsid w:val="00993730"/>
    <w:rsid w:val="009B0AE0"/>
    <w:rsid w:val="009B180A"/>
    <w:rsid w:val="009B49E0"/>
    <w:rsid w:val="009B4D5F"/>
    <w:rsid w:val="009C116B"/>
    <w:rsid w:val="009C2AA2"/>
    <w:rsid w:val="009C42CF"/>
    <w:rsid w:val="009C662D"/>
    <w:rsid w:val="009D2702"/>
    <w:rsid w:val="009D2E80"/>
    <w:rsid w:val="009D31F0"/>
    <w:rsid w:val="009D7B62"/>
    <w:rsid w:val="009E739D"/>
    <w:rsid w:val="009F04A9"/>
    <w:rsid w:val="009F1C29"/>
    <w:rsid w:val="009F23E1"/>
    <w:rsid w:val="009F5DCB"/>
    <w:rsid w:val="00A0494F"/>
    <w:rsid w:val="00A16ECD"/>
    <w:rsid w:val="00A23AFC"/>
    <w:rsid w:val="00A31003"/>
    <w:rsid w:val="00A320D6"/>
    <w:rsid w:val="00A37BD4"/>
    <w:rsid w:val="00A4204F"/>
    <w:rsid w:val="00A42F2D"/>
    <w:rsid w:val="00A4630F"/>
    <w:rsid w:val="00A50219"/>
    <w:rsid w:val="00A55DC3"/>
    <w:rsid w:val="00A738F2"/>
    <w:rsid w:val="00A7666C"/>
    <w:rsid w:val="00A77508"/>
    <w:rsid w:val="00A77BD6"/>
    <w:rsid w:val="00A80253"/>
    <w:rsid w:val="00A8048F"/>
    <w:rsid w:val="00A83250"/>
    <w:rsid w:val="00A83475"/>
    <w:rsid w:val="00A8473F"/>
    <w:rsid w:val="00A90297"/>
    <w:rsid w:val="00A9245B"/>
    <w:rsid w:val="00A94034"/>
    <w:rsid w:val="00A95F3B"/>
    <w:rsid w:val="00A97B2B"/>
    <w:rsid w:val="00AA128F"/>
    <w:rsid w:val="00AA2F10"/>
    <w:rsid w:val="00AA3727"/>
    <w:rsid w:val="00AA6238"/>
    <w:rsid w:val="00AA7D40"/>
    <w:rsid w:val="00AA7F79"/>
    <w:rsid w:val="00AB0184"/>
    <w:rsid w:val="00AB0EE8"/>
    <w:rsid w:val="00AB281A"/>
    <w:rsid w:val="00AC6E07"/>
    <w:rsid w:val="00AD09FF"/>
    <w:rsid w:val="00AD37F3"/>
    <w:rsid w:val="00AD5C90"/>
    <w:rsid w:val="00AD668F"/>
    <w:rsid w:val="00AD6DCB"/>
    <w:rsid w:val="00AE078F"/>
    <w:rsid w:val="00AE2756"/>
    <w:rsid w:val="00AE3304"/>
    <w:rsid w:val="00AE3921"/>
    <w:rsid w:val="00AE6645"/>
    <w:rsid w:val="00AE7A90"/>
    <w:rsid w:val="00AF284D"/>
    <w:rsid w:val="00AF51E9"/>
    <w:rsid w:val="00B008F1"/>
    <w:rsid w:val="00B03B3D"/>
    <w:rsid w:val="00B05C19"/>
    <w:rsid w:val="00B066DC"/>
    <w:rsid w:val="00B13A2D"/>
    <w:rsid w:val="00B13C73"/>
    <w:rsid w:val="00B1408F"/>
    <w:rsid w:val="00B164C3"/>
    <w:rsid w:val="00B16838"/>
    <w:rsid w:val="00B22ED6"/>
    <w:rsid w:val="00B25FA3"/>
    <w:rsid w:val="00B34357"/>
    <w:rsid w:val="00B3599F"/>
    <w:rsid w:val="00B41D59"/>
    <w:rsid w:val="00B42BEE"/>
    <w:rsid w:val="00B434D2"/>
    <w:rsid w:val="00B50F09"/>
    <w:rsid w:val="00B54E8A"/>
    <w:rsid w:val="00B55E16"/>
    <w:rsid w:val="00B56954"/>
    <w:rsid w:val="00B57258"/>
    <w:rsid w:val="00B573A2"/>
    <w:rsid w:val="00B6187B"/>
    <w:rsid w:val="00B619B0"/>
    <w:rsid w:val="00B72B37"/>
    <w:rsid w:val="00B80470"/>
    <w:rsid w:val="00B807E9"/>
    <w:rsid w:val="00B80A72"/>
    <w:rsid w:val="00B83678"/>
    <w:rsid w:val="00B83C3D"/>
    <w:rsid w:val="00B85062"/>
    <w:rsid w:val="00B850A5"/>
    <w:rsid w:val="00B86D6D"/>
    <w:rsid w:val="00B90711"/>
    <w:rsid w:val="00B91849"/>
    <w:rsid w:val="00B91AEF"/>
    <w:rsid w:val="00B92D27"/>
    <w:rsid w:val="00B96797"/>
    <w:rsid w:val="00B97E55"/>
    <w:rsid w:val="00BA1691"/>
    <w:rsid w:val="00BA3A73"/>
    <w:rsid w:val="00BB002E"/>
    <w:rsid w:val="00BB14DF"/>
    <w:rsid w:val="00BB37C0"/>
    <w:rsid w:val="00BB4B28"/>
    <w:rsid w:val="00BB6E05"/>
    <w:rsid w:val="00BC0F85"/>
    <w:rsid w:val="00BC20E7"/>
    <w:rsid w:val="00BC41A6"/>
    <w:rsid w:val="00BC5EEB"/>
    <w:rsid w:val="00BC7624"/>
    <w:rsid w:val="00BD18D2"/>
    <w:rsid w:val="00BD1BB1"/>
    <w:rsid w:val="00BD4075"/>
    <w:rsid w:val="00BE2CB1"/>
    <w:rsid w:val="00BE468F"/>
    <w:rsid w:val="00BE5FC7"/>
    <w:rsid w:val="00BE652E"/>
    <w:rsid w:val="00BF02B5"/>
    <w:rsid w:val="00BF0EEA"/>
    <w:rsid w:val="00BF7255"/>
    <w:rsid w:val="00C00856"/>
    <w:rsid w:val="00C00E9C"/>
    <w:rsid w:val="00C02501"/>
    <w:rsid w:val="00C045D9"/>
    <w:rsid w:val="00C05B83"/>
    <w:rsid w:val="00C10909"/>
    <w:rsid w:val="00C12B22"/>
    <w:rsid w:val="00C13888"/>
    <w:rsid w:val="00C164A2"/>
    <w:rsid w:val="00C22B6E"/>
    <w:rsid w:val="00C234DE"/>
    <w:rsid w:val="00C25236"/>
    <w:rsid w:val="00C27EF3"/>
    <w:rsid w:val="00C32CEE"/>
    <w:rsid w:val="00C353C9"/>
    <w:rsid w:val="00C35B48"/>
    <w:rsid w:val="00C37712"/>
    <w:rsid w:val="00C45C18"/>
    <w:rsid w:val="00C54EFB"/>
    <w:rsid w:val="00C62830"/>
    <w:rsid w:val="00C62B6B"/>
    <w:rsid w:val="00C702C0"/>
    <w:rsid w:val="00C76578"/>
    <w:rsid w:val="00C775FE"/>
    <w:rsid w:val="00C832F8"/>
    <w:rsid w:val="00C84769"/>
    <w:rsid w:val="00C85BD1"/>
    <w:rsid w:val="00C86977"/>
    <w:rsid w:val="00C87E91"/>
    <w:rsid w:val="00C93C41"/>
    <w:rsid w:val="00C94713"/>
    <w:rsid w:val="00C954A6"/>
    <w:rsid w:val="00C97C98"/>
    <w:rsid w:val="00CA5E7F"/>
    <w:rsid w:val="00CB0107"/>
    <w:rsid w:val="00CB146F"/>
    <w:rsid w:val="00CB2B8F"/>
    <w:rsid w:val="00CB306E"/>
    <w:rsid w:val="00CB4F26"/>
    <w:rsid w:val="00CB7870"/>
    <w:rsid w:val="00CC2E87"/>
    <w:rsid w:val="00CC3066"/>
    <w:rsid w:val="00CC5ED7"/>
    <w:rsid w:val="00CC7CA3"/>
    <w:rsid w:val="00CD3A24"/>
    <w:rsid w:val="00CD5956"/>
    <w:rsid w:val="00CD6273"/>
    <w:rsid w:val="00CD68EB"/>
    <w:rsid w:val="00CD7759"/>
    <w:rsid w:val="00CE3C22"/>
    <w:rsid w:val="00CE528D"/>
    <w:rsid w:val="00CE68C1"/>
    <w:rsid w:val="00CE6F89"/>
    <w:rsid w:val="00CE7152"/>
    <w:rsid w:val="00CF05FE"/>
    <w:rsid w:val="00CF2032"/>
    <w:rsid w:val="00CF56D2"/>
    <w:rsid w:val="00CF57CF"/>
    <w:rsid w:val="00CF69AA"/>
    <w:rsid w:val="00D01C16"/>
    <w:rsid w:val="00D03145"/>
    <w:rsid w:val="00D06A90"/>
    <w:rsid w:val="00D14082"/>
    <w:rsid w:val="00D20752"/>
    <w:rsid w:val="00D207CA"/>
    <w:rsid w:val="00D236F8"/>
    <w:rsid w:val="00D247A2"/>
    <w:rsid w:val="00D249AD"/>
    <w:rsid w:val="00D31B35"/>
    <w:rsid w:val="00D31B5F"/>
    <w:rsid w:val="00D32F2B"/>
    <w:rsid w:val="00D33CFD"/>
    <w:rsid w:val="00D42DBB"/>
    <w:rsid w:val="00D53D20"/>
    <w:rsid w:val="00D565AA"/>
    <w:rsid w:val="00D56874"/>
    <w:rsid w:val="00D60494"/>
    <w:rsid w:val="00D671F8"/>
    <w:rsid w:val="00D678D1"/>
    <w:rsid w:val="00D70D36"/>
    <w:rsid w:val="00D70DD3"/>
    <w:rsid w:val="00D7202D"/>
    <w:rsid w:val="00D731F5"/>
    <w:rsid w:val="00D74E7C"/>
    <w:rsid w:val="00D75D21"/>
    <w:rsid w:val="00D87488"/>
    <w:rsid w:val="00D878E8"/>
    <w:rsid w:val="00D90B4F"/>
    <w:rsid w:val="00D90CEB"/>
    <w:rsid w:val="00D91801"/>
    <w:rsid w:val="00DA44A3"/>
    <w:rsid w:val="00DA553F"/>
    <w:rsid w:val="00DA68F9"/>
    <w:rsid w:val="00DB20D4"/>
    <w:rsid w:val="00DB4531"/>
    <w:rsid w:val="00DB4E6D"/>
    <w:rsid w:val="00DB5FC8"/>
    <w:rsid w:val="00DB6274"/>
    <w:rsid w:val="00DC0311"/>
    <w:rsid w:val="00DC083B"/>
    <w:rsid w:val="00DC0E94"/>
    <w:rsid w:val="00DC118B"/>
    <w:rsid w:val="00DC15E0"/>
    <w:rsid w:val="00DC30B3"/>
    <w:rsid w:val="00DC677D"/>
    <w:rsid w:val="00DC6B00"/>
    <w:rsid w:val="00DD3ECE"/>
    <w:rsid w:val="00DE1814"/>
    <w:rsid w:val="00DE2403"/>
    <w:rsid w:val="00DE2764"/>
    <w:rsid w:val="00DE2B75"/>
    <w:rsid w:val="00DE3CA9"/>
    <w:rsid w:val="00DE62E6"/>
    <w:rsid w:val="00DF03A9"/>
    <w:rsid w:val="00DF4038"/>
    <w:rsid w:val="00DF4AB1"/>
    <w:rsid w:val="00DF4D69"/>
    <w:rsid w:val="00E01EF0"/>
    <w:rsid w:val="00E07D62"/>
    <w:rsid w:val="00E1028E"/>
    <w:rsid w:val="00E12165"/>
    <w:rsid w:val="00E14763"/>
    <w:rsid w:val="00E17F50"/>
    <w:rsid w:val="00E24EB4"/>
    <w:rsid w:val="00E260E4"/>
    <w:rsid w:val="00E27B46"/>
    <w:rsid w:val="00E35FED"/>
    <w:rsid w:val="00E3734F"/>
    <w:rsid w:val="00E53F4D"/>
    <w:rsid w:val="00E57CE5"/>
    <w:rsid w:val="00E619AB"/>
    <w:rsid w:val="00E6238D"/>
    <w:rsid w:val="00E6403B"/>
    <w:rsid w:val="00E659DD"/>
    <w:rsid w:val="00E729C3"/>
    <w:rsid w:val="00E735BF"/>
    <w:rsid w:val="00E7479F"/>
    <w:rsid w:val="00E93CB3"/>
    <w:rsid w:val="00E96158"/>
    <w:rsid w:val="00E96FBE"/>
    <w:rsid w:val="00E970A9"/>
    <w:rsid w:val="00E97B3F"/>
    <w:rsid w:val="00EA0B6C"/>
    <w:rsid w:val="00EA1EA8"/>
    <w:rsid w:val="00EA2560"/>
    <w:rsid w:val="00EA3F3C"/>
    <w:rsid w:val="00EB4E65"/>
    <w:rsid w:val="00EB6F77"/>
    <w:rsid w:val="00EC14BF"/>
    <w:rsid w:val="00EC1C26"/>
    <w:rsid w:val="00EC355B"/>
    <w:rsid w:val="00EC4448"/>
    <w:rsid w:val="00EC6B3C"/>
    <w:rsid w:val="00ED5788"/>
    <w:rsid w:val="00ED7B1D"/>
    <w:rsid w:val="00EE0784"/>
    <w:rsid w:val="00EE4A26"/>
    <w:rsid w:val="00EF3BBE"/>
    <w:rsid w:val="00EF3F2F"/>
    <w:rsid w:val="00EF4021"/>
    <w:rsid w:val="00F04862"/>
    <w:rsid w:val="00F141FA"/>
    <w:rsid w:val="00F14A23"/>
    <w:rsid w:val="00F15E3F"/>
    <w:rsid w:val="00F1775C"/>
    <w:rsid w:val="00F23734"/>
    <w:rsid w:val="00F2406D"/>
    <w:rsid w:val="00F25D04"/>
    <w:rsid w:val="00F2730B"/>
    <w:rsid w:val="00F275C2"/>
    <w:rsid w:val="00F30181"/>
    <w:rsid w:val="00F30B3A"/>
    <w:rsid w:val="00F30DA6"/>
    <w:rsid w:val="00F31677"/>
    <w:rsid w:val="00F329A8"/>
    <w:rsid w:val="00F32D4F"/>
    <w:rsid w:val="00F357E2"/>
    <w:rsid w:val="00F43025"/>
    <w:rsid w:val="00F4457A"/>
    <w:rsid w:val="00F44DEE"/>
    <w:rsid w:val="00F52D78"/>
    <w:rsid w:val="00F578A7"/>
    <w:rsid w:val="00F613EB"/>
    <w:rsid w:val="00F65C35"/>
    <w:rsid w:val="00F718BF"/>
    <w:rsid w:val="00F75102"/>
    <w:rsid w:val="00F75A37"/>
    <w:rsid w:val="00F7730D"/>
    <w:rsid w:val="00F90EBE"/>
    <w:rsid w:val="00F90FFE"/>
    <w:rsid w:val="00F91208"/>
    <w:rsid w:val="00F96828"/>
    <w:rsid w:val="00F96F0E"/>
    <w:rsid w:val="00FA1813"/>
    <w:rsid w:val="00FA656D"/>
    <w:rsid w:val="00FB05DB"/>
    <w:rsid w:val="00FB477E"/>
    <w:rsid w:val="00FB6705"/>
    <w:rsid w:val="00FC02C4"/>
    <w:rsid w:val="00FC1BF8"/>
    <w:rsid w:val="00FC2A5C"/>
    <w:rsid w:val="00FC4005"/>
    <w:rsid w:val="00FC6347"/>
    <w:rsid w:val="00FD0C7C"/>
    <w:rsid w:val="00FD442B"/>
    <w:rsid w:val="00FD6A65"/>
    <w:rsid w:val="00FD7DF9"/>
    <w:rsid w:val="00FE18A5"/>
    <w:rsid w:val="00FE267E"/>
    <w:rsid w:val="00FE307A"/>
    <w:rsid w:val="00FE7970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C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E3C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3C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C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C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68C1"/>
    <w:rPr>
      <w:color w:val="808080"/>
    </w:rPr>
  </w:style>
  <w:style w:type="table" w:styleId="Tabela-Siatka">
    <w:name w:val="Table Grid"/>
    <w:basedOn w:val="Standardowy"/>
    <w:uiPriority w:val="59"/>
    <w:rsid w:val="00F329A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rsid w:val="00B13C73"/>
    <w:pPr>
      <w:keepNext/>
      <w:spacing w:after="200" w:line="360" w:lineRule="auto"/>
    </w:pPr>
    <w:rPr>
      <w:rFonts w:ascii="Times New Roman" w:hAnsi="Times New Roman" w:cs="Times New Roman"/>
      <w:b/>
      <w:bCs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C7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D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D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D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238"/>
  </w:style>
  <w:style w:type="paragraph" w:styleId="Stopka">
    <w:name w:val="footer"/>
    <w:basedOn w:val="Normalny"/>
    <w:link w:val="StopkaZnak"/>
    <w:uiPriority w:val="99"/>
    <w:unhideWhenUsed/>
    <w:rsid w:val="00AA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238"/>
  </w:style>
  <w:style w:type="character" w:styleId="Odwoaniedokomentarza">
    <w:name w:val="annotation reference"/>
    <w:basedOn w:val="Domylnaczcionkaakapitu"/>
    <w:uiPriority w:val="99"/>
    <w:semiHidden/>
    <w:unhideWhenUsed/>
    <w:rsid w:val="00C62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B6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0A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E3C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3C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C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C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68C1"/>
    <w:rPr>
      <w:color w:val="808080"/>
    </w:rPr>
  </w:style>
  <w:style w:type="table" w:styleId="Tabela-Siatka">
    <w:name w:val="Table Grid"/>
    <w:basedOn w:val="Standardowy"/>
    <w:uiPriority w:val="59"/>
    <w:rsid w:val="00F329A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rsid w:val="00B13C73"/>
    <w:pPr>
      <w:keepNext/>
      <w:spacing w:after="200" w:line="360" w:lineRule="auto"/>
    </w:pPr>
    <w:rPr>
      <w:rFonts w:ascii="Times New Roman" w:hAnsi="Times New Roman" w:cs="Times New Roman"/>
      <w:b/>
      <w:bCs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C7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D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D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D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238"/>
  </w:style>
  <w:style w:type="paragraph" w:styleId="Stopka">
    <w:name w:val="footer"/>
    <w:basedOn w:val="Normalny"/>
    <w:link w:val="StopkaZnak"/>
    <w:uiPriority w:val="99"/>
    <w:unhideWhenUsed/>
    <w:rsid w:val="00AA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238"/>
  </w:style>
  <w:style w:type="character" w:styleId="Odwoaniedokomentarza">
    <w:name w:val="annotation reference"/>
    <w:basedOn w:val="Domylnaczcionkaakapitu"/>
    <w:uiPriority w:val="99"/>
    <w:semiHidden/>
    <w:unhideWhenUsed/>
    <w:rsid w:val="00C62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B6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0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modranka@wp.pl" TargetMode="External"/><Relationship Id="rId2" Type="http://schemas.openxmlformats.org/officeDocument/2006/relationships/hyperlink" Target="https://orcid.org/0000-0001-9030-1664" TargetMode="External"/><Relationship Id="rId1" Type="http://schemas.openxmlformats.org/officeDocument/2006/relationships/hyperlink" Target="mailto:eugeniusz.kwiatkowski@uni.lodz.pl" TargetMode="External"/><Relationship Id="rId4" Type="http://schemas.openxmlformats.org/officeDocument/2006/relationships/hyperlink" Target="https://orcid.org/0000-0002-2712-480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EA3C5-C200-4D96-A841-ADB3F1A6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Kwiatkowski</dc:creator>
  <cp:lastModifiedBy>Asu</cp:lastModifiedBy>
  <cp:revision>3</cp:revision>
  <dcterms:created xsi:type="dcterms:W3CDTF">2020-07-14T14:43:00Z</dcterms:created>
  <dcterms:modified xsi:type="dcterms:W3CDTF">2020-07-14T14:44:00Z</dcterms:modified>
</cp:coreProperties>
</file>