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37D" w:rsidRPr="00597040" w:rsidRDefault="00B4437D" w:rsidP="00B4437D">
      <w:pPr>
        <w:tabs>
          <w:tab w:val="left" w:pos="2940"/>
          <w:tab w:val="right" w:pos="9639"/>
        </w:tabs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proofErr w:type="spellStart"/>
      <w:r w:rsidRPr="00597040">
        <w:rPr>
          <w:rFonts w:ascii="Times New Roman" w:eastAsia="Arial" w:hAnsi="Times New Roman" w:cs="Times New Roman"/>
          <w:color w:val="000000" w:themeColor="text1"/>
        </w:rPr>
        <w:t>Таbela</w:t>
      </w:r>
      <w:proofErr w:type="spellEnd"/>
      <w:r w:rsidRPr="00597040">
        <w:rPr>
          <w:rFonts w:ascii="Times New Roman" w:eastAsia="Arial" w:hAnsi="Times New Roman" w:cs="Times New Roman"/>
          <w:color w:val="000000" w:themeColor="text1"/>
        </w:rPr>
        <w:t xml:space="preserve"> 1. Silne strony Ukrainy na arenie międzynarodowej</w:t>
      </w:r>
      <w:bookmarkStart w:id="0" w:name="_GoBack"/>
      <w:bookmarkEnd w:id="0"/>
    </w:p>
    <w:p w:rsidR="00B4437D" w:rsidRPr="00597040" w:rsidRDefault="00B4437D" w:rsidP="00B4437D">
      <w:pPr>
        <w:tabs>
          <w:tab w:val="left" w:pos="2940"/>
          <w:tab w:val="right" w:pos="9639"/>
        </w:tabs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7"/>
        <w:gridCol w:w="3740"/>
        <w:gridCol w:w="4605"/>
      </w:tblGrid>
      <w:tr w:rsidR="00B4437D" w:rsidRPr="00597040" w:rsidTr="00DD4158">
        <w:tc>
          <w:tcPr>
            <w:tcW w:w="738" w:type="dxa"/>
          </w:tcPr>
          <w:p w:rsidR="00B4437D" w:rsidRPr="00E054E2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proofErr w:type="spellStart"/>
            <w:r w:rsidRPr="00E054E2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Lp</w:t>
            </w:r>
            <w:proofErr w:type="spellEnd"/>
            <w:r w:rsidRPr="00E054E2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b/>
                <w:color w:val="000000" w:themeColor="text1"/>
              </w:rPr>
              <w:t xml:space="preserve">Czynniki konkurencyjności 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b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b/>
                <w:color w:val="000000" w:themeColor="text1"/>
              </w:rPr>
              <w:t>Miejsce w rankingu światowym (138 państw)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1.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Szkolnictwo wyższe i wykształcenie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33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2.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Jakość podstawowego przygotowania matematycznego i przyrodniczego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30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Poziom szkolnictwa wyższego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13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4.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Rozmiar rynku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47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5.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Poziom edukacji podstawowej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31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6.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Dostęp do Internetu w szkołach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35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7.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</w:rPr>
              <w:t>Efektywność rynku dóbr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3</w:t>
            </w:r>
          </w:p>
        </w:tc>
      </w:tr>
      <w:tr w:rsidR="00B4437D" w:rsidRPr="00597040" w:rsidTr="00DD4158">
        <w:tc>
          <w:tcPr>
            <w:tcW w:w="738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8.</w:t>
            </w:r>
          </w:p>
        </w:tc>
        <w:tc>
          <w:tcPr>
            <w:tcW w:w="3935" w:type="dxa"/>
          </w:tcPr>
          <w:p w:rsidR="00B4437D" w:rsidRPr="00597040" w:rsidRDefault="00B4437D" w:rsidP="00DD41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</w:rPr>
              <w:t>Dostępność naukowców i inżynierów</w:t>
            </w:r>
          </w:p>
        </w:tc>
        <w:tc>
          <w:tcPr>
            <w:tcW w:w="4956" w:type="dxa"/>
          </w:tcPr>
          <w:p w:rsidR="00B4437D" w:rsidRPr="00597040" w:rsidRDefault="00B4437D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color w:val="000000" w:themeColor="text1"/>
              </w:rPr>
              <w:t>5</w:t>
            </w:r>
          </w:p>
        </w:tc>
      </w:tr>
    </w:tbl>
    <w:p w:rsidR="00B4437D" w:rsidRPr="00597040" w:rsidRDefault="00B4437D" w:rsidP="00B4437D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proofErr w:type="spellStart"/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Źródło</w:t>
      </w:r>
      <w:proofErr w:type="spellEnd"/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: </w:t>
      </w:r>
      <w:r w:rsidRPr="00597040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Global Competitiveness Report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2016–2017.</w:t>
      </w:r>
    </w:p>
    <w:p w:rsidR="00A0702B" w:rsidRDefault="00A0702B"/>
    <w:sectPr w:rsidR="00A0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7D"/>
    <w:rsid w:val="00A0702B"/>
    <w:rsid w:val="00B4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16F3F-82EB-4903-869A-C9861610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437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37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2018-06-14T20:23:00Z</dcterms:created>
  <dcterms:modified xsi:type="dcterms:W3CDTF">2018-06-14T20:23:00Z</dcterms:modified>
</cp:coreProperties>
</file>