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5A" w:rsidRDefault="004E545A" w:rsidP="004E545A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Inga </w:t>
      </w:r>
      <w:proofErr w:type="spellStart"/>
      <w:r>
        <w:rPr>
          <w:rFonts w:ascii="Times New Roman" w:hAnsi="Times New Roman" w:cs="Times New Roman"/>
          <w:sz w:val="24"/>
          <w:szCs w:val="24"/>
        </w:rPr>
        <w:t>Mizdrak</w:t>
      </w:r>
      <w:proofErr w:type="spellEnd"/>
    </w:p>
    <w:p w:rsidR="004E545A" w:rsidRDefault="004E545A" w:rsidP="004E545A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4E545A" w:rsidRDefault="004E545A" w:rsidP="004E545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„Między monologiem a dialogiem w życiu społecznym”</w:t>
      </w:r>
      <w:r w:rsidR="003669DC">
        <w:rPr>
          <w:rFonts w:ascii="Times New Roman" w:hAnsi="Times New Roman" w:cs="Times New Roman"/>
          <w:sz w:val="24"/>
          <w:szCs w:val="24"/>
        </w:rPr>
        <w:tab/>
      </w:r>
      <w:r w:rsidR="003669DC">
        <w:rPr>
          <w:rFonts w:ascii="Times New Roman" w:hAnsi="Times New Roman" w:cs="Times New Roman"/>
          <w:sz w:val="24"/>
          <w:szCs w:val="24"/>
        </w:rPr>
        <w:tab/>
      </w:r>
      <w:r w:rsidR="003669DC">
        <w:rPr>
          <w:rFonts w:ascii="Times New Roman" w:hAnsi="Times New Roman" w:cs="Times New Roman"/>
          <w:sz w:val="24"/>
          <w:szCs w:val="24"/>
        </w:rPr>
        <w:tab/>
      </w:r>
      <w:r w:rsidR="003669DC">
        <w:rPr>
          <w:rFonts w:ascii="Times New Roman" w:hAnsi="Times New Roman" w:cs="Times New Roman"/>
          <w:sz w:val="24"/>
          <w:szCs w:val="24"/>
        </w:rPr>
        <w:tab/>
      </w:r>
    </w:p>
    <w:p w:rsidR="004E545A" w:rsidRDefault="004E545A">
      <w:pPr>
        <w:rPr>
          <w:rFonts w:ascii="Times New Roman" w:hAnsi="Times New Roman" w:cs="Times New Roman"/>
          <w:sz w:val="24"/>
          <w:szCs w:val="24"/>
        </w:rPr>
      </w:pPr>
    </w:p>
    <w:p w:rsidR="00096D5A" w:rsidRDefault="003669DC" w:rsidP="004E545A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Abstrakt</w:t>
      </w:r>
    </w:p>
    <w:p w:rsidR="003669DC" w:rsidRDefault="003669DC" w:rsidP="003669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9DC" w:rsidRDefault="003669DC" w:rsidP="00E152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Monolog i dialog są kategoriami kontekstualnymi. Można je rozpatrywać w rozmaitych odniesieniach, ukazywać </w:t>
      </w:r>
      <w:r w:rsidR="00E15270">
        <w:rPr>
          <w:rFonts w:ascii="Times New Roman" w:hAnsi="Times New Roman" w:cs="Times New Roman"/>
          <w:sz w:val="24"/>
          <w:szCs w:val="24"/>
        </w:rPr>
        <w:t xml:space="preserve">ich </w:t>
      </w:r>
      <w:r>
        <w:rPr>
          <w:rFonts w:ascii="Times New Roman" w:hAnsi="Times New Roman" w:cs="Times New Roman"/>
          <w:sz w:val="24"/>
          <w:szCs w:val="24"/>
        </w:rPr>
        <w:t>wielorak</w:t>
      </w:r>
      <w:r w:rsidR="00E15270">
        <w:rPr>
          <w:rFonts w:ascii="Times New Roman" w:hAnsi="Times New Roman" w:cs="Times New Roman"/>
          <w:sz w:val="24"/>
          <w:szCs w:val="24"/>
        </w:rPr>
        <w:t xml:space="preserve">ie znaczenia oraz odsłaniać </w:t>
      </w:r>
      <w:r>
        <w:rPr>
          <w:rFonts w:ascii="Times New Roman" w:hAnsi="Times New Roman" w:cs="Times New Roman"/>
          <w:sz w:val="24"/>
          <w:szCs w:val="24"/>
        </w:rPr>
        <w:t xml:space="preserve">etyczno-aksjologiczno-antropologiczno-społeczny charakter. Obie struktury komunikacyjne mogą odsyłać zarówno do ważnych problemów społecznych, jak i tych, które dotyczą konkretnej jednostki. </w:t>
      </w:r>
    </w:p>
    <w:p w:rsidR="003669DC" w:rsidRDefault="003669DC" w:rsidP="003669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artykułu jest </w:t>
      </w:r>
      <w:r w:rsidR="00E15270">
        <w:rPr>
          <w:rFonts w:ascii="Times New Roman" w:hAnsi="Times New Roman" w:cs="Times New Roman"/>
          <w:sz w:val="24"/>
          <w:szCs w:val="24"/>
        </w:rPr>
        <w:t xml:space="preserve">filozoficzna </w:t>
      </w:r>
      <w:r>
        <w:rPr>
          <w:rFonts w:ascii="Times New Roman" w:hAnsi="Times New Roman" w:cs="Times New Roman"/>
          <w:sz w:val="24"/>
          <w:szCs w:val="24"/>
        </w:rPr>
        <w:t>próba namysłu nad znaczeniem i rolą monologu i dialogu w życiu społecznym. Przywołany w tekście Martin Buber i Józef Tischner przybliżają sens</w:t>
      </w:r>
      <w:r w:rsidR="00EC141A">
        <w:rPr>
          <w:rFonts w:ascii="Times New Roman" w:hAnsi="Times New Roman" w:cs="Times New Roman"/>
          <w:sz w:val="24"/>
          <w:szCs w:val="24"/>
        </w:rPr>
        <w:t xml:space="preserve"> prawdziwego (rzetelnego) dialogu, przeciwstawiając go monologicznemu sposobowi bycia jednostki. Dla tych myślicieli dialog rozgrywa się na płaszczyźnie samego życia (Buber) i dotyczy zawsze swoistej przestrzeni „pomiędzy” Ja i Ty  (Buber, Tischner). Monolog zatem jawi się nie tyle jako przeciwieństwo dialogu ale jako struktura domagająca się uzupełnienia. Przywołani filozofowie ukazują dialog jako </w:t>
      </w:r>
      <w:r w:rsidR="00F374D1">
        <w:rPr>
          <w:rFonts w:ascii="Times New Roman" w:hAnsi="Times New Roman" w:cs="Times New Roman"/>
          <w:sz w:val="24"/>
          <w:szCs w:val="24"/>
        </w:rPr>
        <w:t xml:space="preserve">źródłowe doświadczenie </w:t>
      </w:r>
      <w:r w:rsidR="00EC141A">
        <w:rPr>
          <w:rFonts w:ascii="Times New Roman" w:hAnsi="Times New Roman" w:cs="Times New Roman"/>
          <w:sz w:val="24"/>
          <w:szCs w:val="24"/>
        </w:rPr>
        <w:t xml:space="preserve">człowieka a samą jednostkę pojmują jako byt „zaadresowany” (skierowany „do” drugiego i „ku” drugiemu). Przez to dookreślają </w:t>
      </w:r>
      <w:r w:rsidR="006F5BE7">
        <w:rPr>
          <w:rFonts w:ascii="Times New Roman" w:hAnsi="Times New Roman" w:cs="Times New Roman"/>
          <w:sz w:val="24"/>
          <w:szCs w:val="24"/>
        </w:rPr>
        <w:t xml:space="preserve">oni istotę dialogu, w którym naczelną rolę odgrywa wolność i odpowiedzialność. By się wybrać nawzajem i dojść do prawdziwej relacji, stające naprzeciw siebie podmioty muszą się wyzbyć wszelkich uprzedzeń, </w:t>
      </w:r>
      <w:proofErr w:type="spellStart"/>
      <w:r w:rsidR="006F5BE7">
        <w:rPr>
          <w:rFonts w:ascii="Times New Roman" w:hAnsi="Times New Roman" w:cs="Times New Roman"/>
          <w:sz w:val="24"/>
          <w:szCs w:val="24"/>
        </w:rPr>
        <w:t>predeterminacji</w:t>
      </w:r>
      <w:proofErr w:type="spellEnd"/>
      <w:r w:rsidR="006F5BE7">
        <w:rPr>
          <w:rFonts w:ascii="Times New Roman" w:hAnsi="Times New Roman" w:cs="Times New Roman"/>
          <w:sz w:val="24"/>
          <w:szCs w:val="24"/>
        </w:rPr>
        <w:t xml:space="preserve">, zrzucić pancerz pozoru. Odpowiedź na pytanie płynące od drugiego rodzi dialogiczną więź uczestnictwa w wartościach. Dialog przekracza monologiczne „bycie dla siebie” podmiotu w stronę „bycia dla innego” a sama rzeczywistość społeczna wówczas nabiera nowego sensu, stając się przestrzenią wzajemności, solidarności i </w:t>
      </w:r>
      <w:r w:rsidR="000F4EFB">
        <w:rPr>
          <w:rFonts w:ascii="Times New Roman" w:hAnsi="Times New Roman" w:cs="Times New Roman"/>
          <w:sz w:val="24"/>
          <w:szCs w:val="24"/>
        </w:rPr>
        <w:t>życia wspólnotowego.</w:t>
      </w:r>
    </w:p>
    <w:p w:rsidR="0000172B" w:rsidRDefault="0000172B" w:rsidP="003669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72B" w:rsidRPr="003669DC" w:rsidRDefault="0000172B" w:rsidP="003669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Słowa kluczowe: monolog, dialog, wolność, odpowiedzialność</w:t>
      </w:r>
    </w:p>
    <w:sectPr w:rsidR="0000172B" w:rsidRPr="00366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DC"/>
    <w:rsid w:val="0000172B"/>
    <w:rsid w:val="00096D5A"/>
    <w:rsid w:val="000F4EFB"/>
    <w:rsid w:val="003669DC"/>
    <w:rsid w:val="004E545A"/>
    <w:rsid w:val="006F5BE7"/>
    <w:rsid w:val="00AE31D8"/>
    <w:rsid w:val="00E15270"/>
    <w:rsid w:val="00EC141A"/>
    <w:rsid w:val="00F3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C26B1-1A22-4251-B1AC-B0C49F5D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kowalskr</cp:lastModifiedBy>
  <cp:revision>2</cp:revision>
  <dcterms:created xsi:type="dcterms:W3CDTF">2018-05-06T10:50:00Z</dcterms:created>
  <dcterms:modified xsi:type="dcterms:W3CDTF">2018-05-06T10:50:00Z</dcterms:modified>
</cp:coreProperties>
</file>