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745" w:rsidRPr="002C1118" w:rsidRDefault="008C0745" w:rsidP="008C0745">
      <w:pPr>
        <w:ind w:left="284" w:hanging="284"/>
        <w:jc w:val="center"/>
        <w:rPr>
          <w:rFonts w:ascii="Times New Roman" w:hAnsi="Times New Roman" w:cs="Times New Roman"/>
          <w:i/>
          <w:sz w:val="24"/>
          <w:szCs w:val="24"/>
          <w:lang w:val="pl-PL"/>
        </w:rPr>
      </w:pPr>
      <w:bookmarkStart w:id="0" w:name="_GoBack"/>
      <w:bookmarkEnd w:id="0"/>
      <w:r>
        <w:rPr>
          <w:rFonts w:ascii="Times New Roman" w:hAnsi="Times New Roman" w:cs="Times New Roman"/>
          <w:i/>
          <w:sz w:val="24"/>
          <w:szCs w:val="24"/>
          <w:lang w:val="pl-PL"/>
        </w:rPr>
        <w:t>Katarzyna Mikołajczyk, Uniwersytet Ekonomiczny w Krakowie</w:t>
      </w:r>
    </w:p>
    <w:p w:rsidR="0048331D" w:rsidRDefault="0002497B" w:rsidP="00F503DB">
      <w:pPr>
        <w:ind w:left="284" w:hanging="284"/>
        <w:jc w:val="center"/>
        <w:rPr>
          <w:rFonts w:ascii="Times New Roman" w:hAnsi="Times New Roman" w:cs="Times New Roman"/>
          <w:b/>
          <w:sz w:val="24"/>
          <w:szCs w:val="24"/>
          <w:lang w:val="pl-PL"/>
        </w:rPr>
      </w:pPr>
      <w:r w:rsidRPr="002C1118">
        <w:rPr>
          <w:rFonts w:ascii="Times New Roman" w:hAnsi="Times New Roman" w:cs="Times New Roman"/>
          <w:b/>
          <w:sz w:val="24"/>
          <w:szCs w:val="24"/>
          <w:lang w:val="pl-PL"/>
        </w:rPr>
        <w:t xml:space="preserve">Struktura wydatków publicznych </w:t>
      </w:r>
      <w:r w:rsidR="002C1118" w:rsidRPr="002C1118">
        <w:rPr>
          <w:rFonts w:ascii="Times New Roman" w:hAnsi="Times New Roman" w:cs="Times New Roman"/>
          <w:b/>
          <w:sz w:val="24"/>
          <w:szCs w:val="24"/>
          <w:lang w:val="pl-PL"/>
        </w:rPr>
        <w:t>w krajach</w:t>
      </w:r>
      <w:r w:rsidRPr="002C1118">
        <w:rPr>
          <w:rFonts w:ascii="Times New Roman" w:hAnsi="Times New Roman" w:cs="Times New Roman"/>
          <w:b/>
          <w:sz w:val="24"/>
          <w:szCs w:val="24"/>
          <w:lang w:val="pl-PL"/>
        </w:rPr>
        <w:t xml:space="preserve"> Europy Środkowo-Wschodniej</w:t>
      </w:r>
      <w:r w:rsidR="002C1118" w:rsidRPr="002C1118">
        <w:rPr>
          <w:rFonts w:ascii="Times New Roman" w:hAnsi="Times New Roman" w:cs="Times New Roman"/>
          <w:b/>
          <w:sz w:val="24"/>
          <w:szCs w:val="24"/>
          <w:lang w:val="pl-PL"/>
        </w:rPr>
        <w:t xml:space="preserve">: </w:t>
      </w:r>
      <w:r w:rsidR="00B32B0A">
        <w:rPr>
          <w:rFonts w:ascii="Times New Roman" w:hAnsi="Times New Roman" w:cs="Times New Roman"/>
          <w:b/>
          <w:sz w:val="24"/>
          <w:szCs w:val="24"/>
          <w:lang w:val="pl-PL"/>
        </w:rPr>
        <w:br/>
      </w:r>
      <w:r w:rsidR="002C1118" w:rsidRPr="002C1118">
        <w:rPr>
          <w:rFonts w:ascii="Times New Roman" w:hAnsi="Times New Roman" w:cs="Times New Roman"/>
          <w:b/>
          <w:sz w:val="24"/>
          <w:szCs w:val="24"/>
          <w:lang w:val="pl-PL"/>
        </w:rPr>
        <w:t>analiza porównawcza</w:t>
      </w:r>
    </w:p>
    <w:p w:rsidR="00B32B0A" w:rsidRPr="00B32B0A" w:rsidRDefault="00B32B0A" w:rsidP="00F503DB">
      <w:pPr>
        <w:ind w:left="284" w:hanging="284"/>
        <w:jc w:val="center"/>
        <w:rPr>
          <w:rFonts w:ascii="Times New Roman" w:hAnsi="Times New Roman" w:cs="Times New Roman"/>
          <w:b/>
          <w:sz w:val="24"/>
          <w:szCs w:val="24"/>
        </w:rPr>
      </w:pPr>
      <w:r>
        <w:rPr>
          <w:rFonts w:ascii="Times New Roman" w:hAnsi="Times New Roman" w:cs="Times New Roman"/>
          <w:b/>
          <w:sz w:val="24"/>
          <w:szCs w:val="24"/>
        </w:rPr>
        <w:t xml:space="preserve">The </w:t>
      </w:r>
      <w:r w:rsidRPr="00B32B0A">
        <w:rPr>
          <w:rFonts w:ascii="Times New Roman" w:hAnsi="Times New Roman" w:cs="Times New Roman"/>
          <w:b/>
          <w:sz w:val="24"/>
          <w:szCs w:val="24"/>
        </w:rPr>
        <w:t xml:space="preserve">composition </w:t>
      </w:r>
      <w:r>
        <w:rPr>
          <w:rFonts w:ascii="Times New Roman" w:hAnsi="Times New Roman" w:cs="Times New Roman"/>
          <w:b/>
          <w:sz w:val="24"/>
          <w:szCs w:val="24"/>
        </w:rPr>
        <w:t xml:space="preserve">of public expenditure </w:t>
      </w:r>
      <w:r w:rsidRPr="00B32B0A">
        <w:rPr>
          <w:rFonts w:ascii="Times New Roman" w:hAnsi="Times New Roman" w:cs="Times New Roman"/>
          <w:b/>
          <w:sz w:val="24"/>
          <w:szCs w:val="24"/>
        </w:rPr>
        <w:t xml:space="preserve">in Central and East European </w:t>
      </w:r>
      <w:r>
        <w:rPr>
          <w:rFonts w:ascii="Times New Roman" w:hAnsi="Times New Roman" w:cs="Times New Roman"/>
          <w:b/>
          <w:sz w:val="24"/>
          <w:szCs w:val="24"/>
        </w:rPr>
        <w:t>c</w:t>
      </w:r>
      <w:r w:rsidRPr="00B32B0A">
        <w:rPr>
          <w:rFonts w:ascii="Times New Roman" w:hAnsi="Times New Roman" w:cs="Times New Roman"/>
          <w:b/>
          <w:sz w:val="24"/>
          <w:szCs w:val="24"/>
        </w:rPr>
        <w:t xml:space="preserve">ountries: </w:t>
      </w:r>
      <w:r>
        <w:rPr>
          <w:rFonts w:ascii="Times New Roman" w:hAnsi="Times New Roman" w:cs="Times New Roman"/>
          <w:b/>
          <w:sz w:val="24"/>
          <w:szCs w:val="24"/>
        </w:rPr>
        <w:br/>
        <w:t>a c</w:t>
      </w:r>
      <w:r w:rsidRPr="00B32B0A">
        <w:rPr>
          <w:rFonts w:ascii="Times New Roman" w:hAnsi="Times New Roman" w:cs="Times New Roman"/>
          <w:b/>
          <w:sz w:val="24"/>
          <w:szCs w:val="24"/>
        </w:rPr>
        <w:t xml:space="preserve">omparative </w:t>
      </w:r>
      <w:r>
        <w:rPr>
          <w:rFonts w:ascii="Times New Roman" w:hAnsi="Times New Roman" w:cs="Times New Roman"/>
          <w:b/>
          <w:sz w:val="24"/>
          <w:szCs w:val="24"/>
        </w:rPr>
        <w:t>a</w:t>
      </w:r>
      <w:r w:rsidRPr="00B32B0A">
        <w:rPr>
          <w:rFonts w:ascii="Times New Roman" w:hAnsi="Times New Roman" w:cs="Times New Roman"/>
          <w:b/>
          <w:sz w:val="24"/>
          <w:szCs w:val="24"/>
        </w:rPr>
        <w:t>nalysis</w:t>
      </w:r>
    </w:p>
    <w:p w:rsidR="002C1118" w:rsidRDefault="00B32B0A" w:rsidP="002C1118">
      <w:pPr>
        <w:ind w:left="284" w:hanging="284"/>
        <w:rPr>
          <w:rFonts w:ascii="Times New Roman" w:hAnsi="Times New Roman" w:cs="Times New Roman"/>
          <w:b/>
          <w:sz w:val="24"/>
          <w:szCs w:val="24"/>
          <w:lang w:val="pl-PL"/>
        </w:rPr>
      </w:pPr>
      <w:r>
        <w:rPr>
          <w:rFonts w:ascii="Times New Roman" w:hAnsi="Times New Roman" w:cs="Times New Roman"/>
          <w:b/>
          <w:sz w:val="24"/>
          <w:szCs w:val="24"/>
          <w:lang w:val="pl-PL"/>
        </w:rPr>
        <w:t>Streszczenie</w:t>
      </w:r>
    </w:p>
    <w:p w:rsidR="00CF62CF" w:rsidRDefault="00CF62CF" w:rsidP="00CF62CF">
      <w:pPr>
        <w:spacing w:after="0"/>
        <w:jc w:val="both"/>
        <w:rPr>
          <w:rFonts w:ascii="Times New Roman" w:hAnsi="Times New Roman" w:cs="Times New Roman"/>
          <w:sz w:val="24"/>
          <w:szCs w:val="24"/>
          <w:lang w:val="pl-PL"/>
        </w:rPr>
      </w:pPr>
      <w:r w:rsidRPr="00CF62CF">
        <w:rPr>
          <w:rFonts w:ascii="Times New Roman" w:hAnsi="Times New Roman" w:cs="Times New Roman"/>
          <w:sz w:val="24"/>
          <w:szCs w:val="24"/>
          <w:lang w:val="pl-PL"/>
        </w:rPr>
        <w:t xml:space="preserve">Ostatni kryzys gospodarczy i poszukiwanie narzędzi przezwyciężenia jego skutków ożywił dyskusję dotyczącą skuteczności oddziaływania państwa na wzrost gospodarczy poprzez interwencję fiskalną. Charakter i trwałość tego oddziaływania od lat jest przedmiotem licznych analiz, </w:t>
      </w:r>
      <w:r w:rsidR="004B178D">
        <w:rPr>
          <w:rFonts w:ascii="Times New Roman" w:hAnsi="Times New Roman" w:cs="Times New Roman"/>
          <w:sz w:val="24"/>
          <w:szCs w:val="24"/>
          <w:lang w:val="pl-PL"/>
        </w:rPr>
        <w:t xml:space="preserve">które </w:t>
      </w:r>
      <w:r w:rsidRPr="00CF62CF">
        <w:rPr>
          <w:rFonts w:ascii="Times New Roman" w:hAnsi="Times New Roman" w:cs="Times New Roman"/>
          <w:sz w:val="24"/>
          <w:szCs w:val="24"/>
          <w:lang w:val="pl-PL"/>
        </w:rPr>
        <w:t>nie ogranicz</w:t>
      </w:r>
      <w:r w:rsidR="004B178D">
        <w:rPr>
          <w:rFonts w:ascii="Times New Roman" w:hAnsi="Times New Roman" w:cs="Times New Roman"/>
          <w:sz w:val="24"/>
          <w:szCs w:val="24"/>
          <w:lang w:val="pl-PL"/>
        </w:rPr>
        <w:t>ają</w:t>
      </w:r>
      <w:r w:rsidRPr="00CF62CF">
        <w:rPr>
          <w:rFonts w:ascii="Times New Roman" w:hAnsi="Times New Roman" w:cs="Times New Roman"/>
          <w:sz w:val="24"/>
          <w:szCs w:val="24"/>
          <w:lang w:val="pl-PL"/>
        </w:rPr>
        <w:t xml:space="preserve"> się tylko do badania poziomu interwencjonizmu, ale wymaga</w:t>
      </w:r>
      <w:r w:rsidR="004B178D">
        <w:rPr>
          <w:rFonts w:ascii="Times New Roman" w:hAnsi="Times New Roman" w:cs="Times New Roman"/>
          <w:sz w:val="24"/>
          <w:szCs w:val="24"/>
          <w:lang w:val="pl-PL"/>
        </w:rPr>
        <w:t>ją</w:t>
      </w:r>
      <w:r w:rsidRPr="00CF62CF">
        <w:rPr>
          <w:rFonts w:ascii="Times New Roman" w:hAnsi="Times New Roman" w:cs="Times New Roman"/>
          <w:sz w:val="24"/>
          <w:szCs w:val="24"/>
          <w:lang w:val="pl-PL"/>
        </w:rPr>
        <w:t xml:space="preserve"> uwzględnienia także ich struktury oraz sposobu finansowania.</w:t>
      </w:r>
      <w:r w:rsidR="004B178D">
        <w:rPr>
          <w:rFonts w:ascii="Times New Roman" w:hAnsi="Times New Roman" w:cs="Times New Roman"/>
          <w:sz w:val="24"/>
          <w:szCs w:val="24"/>
          <w:lang w:val="pl-PL"/>
        </w:rPr>
        <w:t xml:space="preserve"> </w:t>
      </w:r>
      <w:r>
        <w:rPr>
          <w:rFonts w:ascii="Times New Roman" w:hAnsi="Times New Roman" w:cs="Times New Roman"/>
          <w:sz w:val="24"/>
          <w:szCs w:val="24"/>
          <w:lang w:val="pl-PL"/>
        </w:rPr>
        <w:t xml:space="preserve">Celem artykułu jest porównanie wysokości i struktury wydatków publicznych w krajach Europy Środkowo-Wschodniej w kontekście możliwości ich wykorzystania do stymulowania wzrostu gospodarki. W pracy zweryfikowano tezę badawczą, że w krajach tych istnieje duże i </w:t>
      </w:r>
      <w:r w:rsidR="004B178D">
        <w:rPr>
          <w:rFonts w:ascii="Times New Roman" w:hAnsi="Times New Roman" w:cs="Times New Roman"/>
          <w:sz w:val="24"/>
          <w:szCs w:val="24"/>
          <w:lang w:val="pl-PL"/>
        </w:rPr>
        <w:t>trwałe</w:t>
      </w:r>
      <w:r>
        <w:rPr>
          <w:rFonts w:ascii="Times New Roman" w:hAnsi="Times New Roman" w:cs="Times New Roman"/>
          <w:sz w:val="24"/>
          <w:szCs w:val="24"/>
          <w:lang w:val="pl-PL"/>
        </w:rPr>
        <w:t xml:space="preserve"> zróżnicowanie w strukturze wydatków publicznych, odzwierciedlające potrzebę zindywidualizowanej polityki fiskalnej. Analizę empiryczną przeprowadzono dla danych z okresu 2002-2014, przyjmując podział wydatków publicznych według ich funkcji, a wykorzystaną metodą badań była analiza porównawcza oraz panelowe modele regresji.</w:t>
      </w:r>
    </w:p>
    <w:p w:rsidR="004B178D" w:rsidRPr="008D6E9C" w:rsidRDefault="004B178D" w:rsidP="002C1118">
      <w:pPr>
        <w:ind w:left="284" w:hanging="284"/>
        <w:rPr>
          <w:rFonts w:ascii="Times New Roman" w:hAnsi="Times New Roman" w:cs="Times New Roman"/>
          <w:b/>
          <w:sz w:val="24"/>
          <w:szCs w:val="24"/>
          <w:lang w:val="pl-PL"/>
        </w:rPr>
      </w:pPr>
    </w:p>
    <w:p w:rsidR="00B32B0A" w:rsidRPr="00CF62CF" w:rsidRDefault="00B32B0A" w:rsidP="002C1118">
      <w:pPr>
        <w:ind w:left="284" w:hanging="284"/>
        <w:rPr>
          <w:rFonts w:ascii="Times New Roman" w:hAnsi="Times New Roman" w:cs="Times New Roman"/>
          <w:b/>
          <w:sz w:val="24"/>
          <w:szCs w:val="24"/>
        </w:rPr>
      </w:pPr>
      <w:r w:rsidRPr="00CF62CF">
        <w:rPr>
          <w:rFonts w:ascii="Times New Roman" w:hAnsi="Times New Roman" w:cs="Times New Roman"/>
          <w:b/>
          <w:sz w:val="24"/>
          <w:szCs w:val="24"/>
        </w:rPr>
        <w:t>Abstract</w:t>
      </w:r>
      <w:r w:rsidR="00CF62CF" w:rsidRPr="00CF62CF">
        <w:rPr>
          <w:rFonts w:ascii="Times New Roman" w:hAnsi="Times New Roman" w:cs="Times New Roman"/>
          <w:b/>
          <w:sz w:val="24"/>
          <w:szCs w:val="24"/>
        </w:rPr>
        <w:t xml:space="preserve"> </w:t>
      </w:r>
    </w:p>
    <w:p w:rsidR="00CF62CF" w:rsidRPr="0015563A" w:rsidRDefault="00CF62CF" w:rsidP="00CF62CF">
      <w:pPr>
        <w:jc w:val="both"/>
        <w:rPr>
          <w:rFonts w:ascii="Times New Roman" w:hAnsi="Times New Roman" w:cs="Times New Roman"/>
          <w:sz w:val="24"/>
          <w:szCs w:val="24"/>
          <w:lang w:val="en-GB"/>
        </w:rPr>
      </w:pPr>
      <w:r w:rsidRPr="0015563A">
        <w:rPr>
          <w:rFonts w:ascii="Times New Roman" w:hAnsi="Times New Roman" w:cs="Times New Roman"/>
          <w:sz w:val="24"/>
          <w:szCs w:val="24"/>
          <w:lang w:val="en-GB"/>
        </w:rPr>
        <w:t xml:space="preserve">The recent economic crisis and a search for instruments to overcome its consequences have revived the discussion on the effectiveness of public fiscal intervention on economic growth. The nature and persistence of this intervention have been a subject of many studies, </w:t>
      </w:r>
      <w:r w:rsidR="004B178D">
        <w:rPr>
          <w:rFonts w:ascii="Times New Roman" w:hAnsi="Times New Roman" w:cs="Times New Roman"/>
          <w:sz w:val="24"/>
          <w:szCs w:val="24"/>
          <w:lang w:val="en-GB"/>
        </w:rPr>
        <w:t>which are</w:t>
      </w:r>
      <w:r w:rsidRPr="0015563A">
        <w:rPr>
          <w:rFonts w:ascii="Times New Roman" w:hAnsi="Times New Roman" w:cs="Times New Roman"/>
          <w:sz w:val="24"/>
          <w:szCs w:val="24"/>
          <w:lang w:val="en-GB"/>
        </w:rPr>
        <w:t xml:space="preserve"> taking into account not only the size, but also the financing and composition of public expenditure. The aim of this paper is </w:t>
      </w:r>
      <w:r w:rsidR="004B178D">
        <w:rPr>
          <w:rFonts w:ascii="Times New Roman" w:hAnsi="Times New Roman" w:cs="Times New Roman"/>
          <w:sz w:val="24"/>
          <w:szCs w:val="24"/>
          <w:lang w:val="en-GB"/>
        </w:rPr>
        <w:t xml:space="preserve">to compare the size and the structure of public spending in Central and East European countries, stressing their growth stimulating impact on the economy. The </w:t>
      </w:r>
      <w:r w:rsidR="004B01FC">
        <w:rPr>
          <w:rFonts w:ascii="Times New Roman" w:hAnsi="Times New Roman" w:cs="Times New Roman"/>
          <w:sz w:val="24"/>
          <w:szCs w:val="24"/>
          <w:lang w:val="en-GB"/>
        </w:rPr>
        <w:t xml:space="preserve">results support the </w:t>
      </w:r>
      <w:r w:rsidR="004B178D">
        <w:rPr>
          <w:rFonts w:ascii="Times New Roman" w:hAnsi="Times New Roman" w:cs="Times New Roman"/>
          <w:sz w:val="24"/>
          <w:szCs w:val="24"/>
          <w:lang w:val="en-GB"/>
        </w:rPr>
        <w:t>main research hypothesis</w:t>
      </w:r>
      <w:r w:rsidR="004B01FC">
        <w:rPr>
          <w:rFonts w:ascii="Times New Roman" w:hAnsi="Times New Roman" w:cs="Times New Roman"/>
          <w:sz w:val="24"/>
          <w:szCs w:val="24"/>
          <w:lang w:val="en-GB"/>
        </w:rPr>
        <w:t xml:space="preserve">, </w:t>
      </w:r>
      <w:r w:rsidR="004B178D">
        <w:rPr>
          <w:rFonts w:ascii="Times New Roman" w:hAnsi="Times New Roman" w:cs="Times New Roman"/>
          <w:sz w:val="24"/>
          <w:szCs w:val="24"/>
          <w:lang w:val="en-GB"/>
        </w:rPr>
        <w:t xml:space="preserve">that </w:t>
      </w:r>
      <w:r w:rsidR="004B01FC">
        <w:rPr>
          <w:rFonts w:ascii="Times New Roman" w:hAnsi="Times New Roman" w:cs="Times New Roman"/>
          <w:sz w:val="24"/>
          <w:szCs w:val="24"/>
          <w:lang w:val="en-GB"/>
        </w:rPr>
        <w:t xml:space="preserve">the differences in public spending composition in CEE countries are significant and persistent, reflecting the needs of individual fiscal policy. The empirical analysis </w:t>
      </w:r>
      <w:r w:rsidR="008D6E9C">
        <w:rPr>
          <w:rFonts w:ascii="Times New Roman" w:hAnsi="Times New Roman" w:cs="Times New Roman"/>
          <w:sz w:val="24"/>
          <w:szCs w:val="24"/>
          <w:lang w:val="en-GB"/>
        </w:rPr>
        <w:t>is</w:t>
      </w:r>
      <w:r w:rsidR="004B01FC">
        <w:rPr>
          <w:rFonts w:ascii="Times New Roman" w:hAnsi="Times New Roman" w:cs="Times New Roman"/>
          <w:sz w:val="24"/>
          <w:szCs w:val="24"/>
          <w:lang w:val="en-GB"/>
        </w:rPr>
        <w:t xml:space="preserve"> based on functional classification of public expenditures</w:t>
      </w:r>
      <w:r w:rsidR="008D6E9C" w:rsidRPr="008D6E9C">
        <w:rPr>
          <w:rFonts w:ascii="Times New Roman" w:hAnsi="Times New Roman" w:cs="Times New Roman"/>
          <w:sz w:val="24"/>
          <w:szCs w:val="24"/>
          <w:lang w:val="en-GB"/>
        </w:rPr>
        <w:t xml:space="preserve"> </w:t>
      </w:r>
      <w:r w:rsidR="008D6E9C">
        <w:rPr>
          <w:rFonts w:ascii="Times New Roman" w:hAnsi="Times New Roman" w:cs="Times New Roman"/>
          <w:sz w:val="24"/>
          <w:szCs w:val="24"/>
          <w:lang w:val="en-GB"/>
        </w:rPr>
        <w:t>for period 2002-2014</w:t>
      </w:r>
      <w:r w:rsidR="004B01FC">
        <w:rPr>
          <w:rFonts w:ascii="Times New Roman" w:hAnsi="Times New Roman" w:cs="Times New Roman"/>
          <w:sz w:val="24"/>
          <w:szCs w:val="24"/>
          <w:lang w:val="en-GB"/>
        </w:rPr>
        <w:t xml:space="preserve"> and </w:t>
      </w:r>
      <w:r w:rsidR="008D6E9C">
        <w:rPr>
          <w:rFonts w:ascii="Times New Roman" w:hAnsi="Times New Roman" w:cs="Times New Roman"/>
          <w:sz w:val="24"/>
          <w:szCs w:val="24"/>
          <w:lang w:val="en-GB"/>
        </w:rPr>
        <w:t xml:space="preserve">the main research methods are </w:t>
      </w:r>
      <w:r w:rsidR="004B01FC">
        <w:rPr>
          <w:rFonts w:ascii="Times New Roman" w:hAnsi="Times New Roman" w:cs="Times New Roman"/>
          <w:sz w:val="24"/>
          <w:szCs w:val="24"/>
          <w:lang w:val="en-GB"/>
        </w:rPr>
        <w:t xml:space="preserve">comparative analysis and panel regressions. </w:t>
      </w:r>
    </w:p>
    <w:p w:rsidR="00B32B0A" w:rsidRDefault="00B32B0A" w:rsidP="002C1118">
      <w:pPr>
        <w:ind w:left="284" w:hanging="284"/>
        <w:rPr>
          <w:rFonts w:ascii="Times New Roman" w:hAnsi="Times New Roman" w:cs="Times New Roman"/>
          <w:b/>
          <w:sz w:val="24"/>
          <w:szCs w:val="24"/>
          <w:lang w:val="pl-PL"/>
        </w:rPr>
      </w:pPr>
      <w:r>
        <w:rPr>
          <w:rFonts w:ascii="Times New Roman" w:hAnsi="Times New Roman" w:cs="Times New Roman"/>
          <w:b/>
          <w:sz w:val="24"/>
          <w:szCs w:val="24"/>
          <w:lang w:val="pl-PL"/>
        </w:rPr>
        <w:t xml:space="preserve">Słowa kluczowe: </w:t>
      </w:r>
      <w:r w:rsidR="00CF62CF">
        <w:rPr>
          <w:rFonts w:ascii="Times New Roman" w:hAnsi="Times New Roman" w:cs="Times New Roman"/>
          <w:sz w:val="24"/>
          <w:szCs w:val="24"/>
          <w:lang w:val="pl-PL"/>
        </w:rPr>
        <w:t>polityka fiskalna</w:t>
      </w:r>
      <w:r w:rsidRPr="00B32B0A">
        <w:rPr>
          <w:rFonts w:ascii="Times New Roman" w:hAnsi="Times New Roman" w:cs="Times New Roman"/>
          <w:sz w:val="24"/>
          <w:szCs w:val="24"/>
          <w:lang w:val="pl-PL"/>
        </w:rPr>
        <w:t>, struktura wydatków publicznych, wzrost gospodarczy, Europa Środkowo-Wschodnia</w:t>
      </w:r>
    </w:p>
    <w:p w:rsidR="008C0745" w:rsidRDefault="00B32B0A" w:rsidP="002C1118">
      <w:pPr>
        <w:ind w:left="284" w:hanging="284"/>
        <w:rPr>
          <w:rFonts w:ascii="Times New Roman" w:hAnsi="Times New Roman" w:cs="Times New Roman"/>
          <w:sz w:val="24"/>
          <w:szCs w:val="24"/>
        </w:rPr>
      </w:pPr>
      <w:r w:rsidRPr="00B32B0A">
        <w:rPr>
          <w:rFonts w:ascii="Times New Roman" w:hAnsi="Times New Roman" w:cs="Times New Roman"/>
          <w:b/>
          <w:sz w:val="24"/>
          <w:szCs w:val="24"/>
        </w:rPr>
        <w:t xml:space="preserve">Keywords: </w:t>
      </w:r>
      <w:r w:rsidR="00CF62CF">
        <w:rPr>
          <w:rFonts w:ascii="Times New Roman" w:hAnsi="Times New Roman" w:cs="Times New Roman"/>
          <w:sz w:val="24"/>
          <w:szCs w:val="24"/>
        </w:rPr>
        <w:t>fiscal policy</w:t>
      </w:r>
      <w:r w:rsidRPr="00B32B0A">
        <w:rPr>
          <w:rFonts w:ascii="Times New Roman" w:hAnsi="Times New Roman" w:cs="Times New Roman"/>
          <w:sz w:val="24"/>
          <w:szCs w:val="24"/>
        </w:rPr>
        <w:t xml:space="preserve">, public </w:t>
      </w:r>
      <w:r w:rsidR="00CF62CF" w:rsidRPr="00B32B0A">
        <w:rPr>
          <w:rFonts w:ascii="Times New Roman" w:hAnsi="Times New Roman" w:cs="Times New Roman"/>
          <w:sz w:val="24"/>
          <w:szCs w:val="24"/>
        </w:rPr>
        <w:t xml:space="preserve">expenditure </w:t>
      </w:r>
      <w:r w:rsidRPr="00B32B0A">
        <w:rPr>
          <w:rFonts w:ascii="Times New Roman" w:hAnsi="Times New Roman" w:cs="Times New Roman"/>
          <w:sz w:val="24"/>
          <w:szCs w:val="24"/>
        </w:rPr>
        <w:t xml:space="preserve">composition, </w:t>
      </w:r>
      <w:r>
        <w:rPr>
          <w:rFonts w:ascii="Times New Roman" w:hAnsi="Times New Roman" w:cs="Times New Roman"/>
          <w:sz w:val="24"/>
          <w:szCs w:val="24"/>
        </w:rPr>
        <w:t>economic growth, Central and East Europe</w:t>
      </w:r>
    </w:p>
    <w:p w:rsidR="008C0745" w:rsidRPr="002C1118" w:rsidRDefault="008C0745" w:rsidP="008C0745">
      <w:pPr>
        <w:ind w:left="284" w:hanging="284"/>
        <w:jc w:val="center"/>
        <w:rPr>
          <w:rFonts w:ascii="Times New Roman" w:hAnsi="Times New Roman" w:cs="Times New Roman"/>
          <w:i/>
          <w:sz w:val="24"/>
          <w:szCs w:val="24"/>
          <w:lang w:val="pl-PL"/>
        </w:rPr>
      </w:pPr>
      <w:r>
        <w:rPr>
          <w:rFonts w:ascii="Times New Roman" w:hAnsi="Times New Roman" w:cs="Times New Roman"/>
          <w:i/>
          <w:sz w:val="24"/>
          <w:szCs w:val="24"/>
          <w:lang w:val="pl-PL"/>
        </w:rPr>
        <w:lastRenderedPageBreak/>
        <w:t>Katarzyna Mikołajczyk, Uniwersytet Ekonomiczny w Krakowie</w:t>
      </w:r>
    </w:p>
    <w:p w:rsidR="008C0745" w:rsidRDefault="008C0745" w:rsidP="008C0745">
      <w:pPr>
        <w:ind w:left="284" w:hanging="284"/>
        <w:jc w:val="center"/>
        <w:rPr>
          <w:rFonts w:ascii="Times New Roman" w:hAnsi="Times New Roman" w:cs="Times New Roman"/>
          <w:b/>
          <w:sz w:val="24"/>
          <w:szCs w:val="24"/>
          <w:lang w:val="pl-PL"/>
        </w:rPr>
      </w:pPr>
      <w:r w:rsidRPr="002C1118">
        <w:rPr>
          <w:rFonts w:ascii="Times New Roman" w:hAnsi="Times New Roman" w:cs="Times New Roman"/>
          <w:b/>
          <w:sz w:val="24"/>
          <w:szCs w:val="24"/>
          <w:lang w:val="pl-PL"/>
        </w:rPr>
        <w:t xml:space="preserve">Struktura wydatków publicznych w krajach Europy Środkowo-Wschodniej: </w:t>
      </w:r>
      <w:r>
        <w:rPr>
          <w:rFonts w:ascii="Times New Roman" w:hAnsi="Times New Roman" w:cs="Times New Roman"/>
          <w:b/>
          <w:sz w:val="24"/>
          <w:szCs w:val="24"/>
          <w:lang w:val="pl-PL"/>
        </w:rPr>
        <w:br/>
      </w:r>
      <w:r w:rsidRPr="002C1118">
        <w:rPr>
          <w:rFonts w:ascii="Times New Roman" w:hAnsi="Times New Roman" w:cs="Times New Roman"/>
          <w:b/>
          <w:sz w:val="24"/>
          <w:szCs w:val="24"/>
          <w:lang w:val="pl-PL"/>
        </w:rPr>
        <w:t>analiza porównawcza</w:t>
      </w:r>
    </w:p>
    <w:p w:rsidR="00F503DB" w:rsidRPr="00BD2672" w:rsidRDefault="002C1118" w:rsidP="00191650">
      <w:pPr>
        <w:ind w:firstLine="709"/>
        <w:rPr>
          <w:rFonts w:ascii="Times New Roman" w:hAnsi="Times New Roman" w:cs="Times New Roman"/>
          <w:b/>
          <w:sz w:val="24"/>
          <w:szCs w:val="24"/>
          <w:lang w:val="pl-PL"/>
        </w:rPr>
      </w:pPr>
      <w:r w:rsidRPr="00BD2672">
        <w:rPr>
          <w:rFonts w:ascii="Times New Roman" w:hAnsi="Times New Roman" w:cs="Times New Roman"/>
          <w:b/>
          <w:sz w:val="24"/>
          <w:szCs w:val="24"/>
          <w:lang w:val="pl-PL"/>
        </w:rPr>
        <w:t>Wstęp</w:t>
      </w:r>
    </w:p>
    <w:p w:rsidR="00116B40" w:rsidRDefault="008C0745" w:rsidP="00191650">
      <w:pPr>
        <w:spacing w:after="0" w:line="360" w:lineRule="auto"/>
        <w:ind w:firstLine="72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Ostatnie dziesięciolecie zostało naznaczone skutkami kryzysu finansowego, który w latach 2007-09 wstrząsnął światową gospodarką i zmusił </w:t>
      </w:r>
      <w:r w:rsidR="00396BBD">
        <w:rPr>
          <w:rFonts w:ascii="Times New Roman" w:hAnsi="Times New Roman" w:cs="Times New Roman"/>
          <w:sz w:val="24"/>
          <w:szCs w:val="24"/>
          <w:lang w:val="pl-PL"/>
        </w:rPr>
        <w:t>rządy</w:t>
      </w:r>
      <w:r>
        <w:rPr>
          <w:rFonts w:ascii="Times New Roman" w:hAnsi="Times New Roman" w:cs="Times New Roman"/>
          <w:sz w:val="24"/>
          <w:szCs w:val="24"/>
          <w:lang w:val="pl-PL"/>
        </w:rPr>
        <w:t xml:space="preserve"> </w:t>
      </w:r>
      <w:r w:rsidR="00396BBD">
        <w:rPr>
          <w:rFonts w:ascii="Times New Roman" w:hAnsi="Times New Roman" w:cs="Times New Roman"/>
          <w:sz w:val="24"/>
          <w:szCs w:val="24"/>
          <w:lang w:val="pl-PL"/>
        </w:rPr>
        <w:t xml:space="preserve">wielu państw </w:t>
      </w:r>
      <w:r>
        <w:rPr>
          <w:rFonts w:ascii="Times New Roman" w:hAnsi="Times New Roman" w:cs="Times New Roman"/>
          <w:sz w:val="24"/>
          <w:szCs w:val="24"/>
          <w:lang w:val="pl-PL"/>
        </w:rPr>
        <w:t>do przeformułowania pr</w:t>
      </w:r>
      <w:r w:rsidR="00396BBD">
        <w:rPr>
          <w:rFonts w:ascii="Times New Roman" w:hAnsi="Times New Roman" w:cs="Times New Roman"/>
          <w:sz w:val="24"/>
          <w:szCs w:val="24"/>
          <w:lang w:val="pl-PL"/>
        </w:rPr>
        <w:t xml:space="preserve">owadzonej polityki fiskalnej i ukierunkowania jej na </w:t>
      </w:r>
      <w:r>
        <w:rPr>
          <w:rFonts w:ascii="Times New Roman" w:hAnsi="Times New Roman" w:cs="Times New Roman"/>
          <w:sz w:val="24"/>
          <w:szCs w:val="24"/>
          <w:lang w:val="pl-PL"/>
        </w:rPr>
        <w:t>silniejsze</w:t>
      </w:r>
      <w:r w:rsidR="00396BBD">
        <w:rPr>
          <w:rFonts w:ascii="Times New Roman" w:hAnsi="Times New Roman" w:cs="Times New Roman"/>
          <w:sz w:val="24"/>
          <w:szCs w:val="24"/>
          <w:lang w:val="pl-PL"/>
        </w:rPr>
        <w:t xml:space="preserve"> wspieranie wzrostu gospodarczego. Towarzyszyła temu ożywiona dyskusja na temat możliwości i mechanizmów skutecznego oddziaływania państwa na gospodarkę, a wobec licznych kontrowersji wynikających z różnych teorii makroekonomicznych szczególnie ważna rola przypadła badaniom empirycznym. </w:t>
      </w:r>
      <w:r w:rsidR="005869E8">
        <w:rPr>
          <w:rFonts w:ascii="Times New Roman" w:hAnsi="Times New Roman" w:cs="Times New Roman"/>
          <w:sz w:val="24"/>
          <w:szCs w:val="24"/>
          <w:lang w:val="pl-PL"/>
        </w:rPr>
        <w:t xml:space="preserve">Jednak </w:t>
      </w:r>
      <w:r w:rsidR="00396BBD">
        <w:rPr>
          <w:rFonts w:ascii="Times New Roman" w:hAnsi="Times New Roman" w:cs="Times New Roman"/>
          <w:sz w:val="24"/>
          <w:szCs w:val="24"/>
          <w:lang w:val="pl-PL"/>
        </w:rPr>
        <w:t>skomplikowan</w:t>
      </w:r>
      <w:r w:rsidR="005869E8">
        <w:rPr>
          <w:rFonts w:ascii="Times New Roman" w:hAnsi="Times New Roman" w:cs="Times New Roman"/>
          <w:sz w:val="24"/>
          <w:szCs w:val="24"/>
          <w:lang w:val="pl-PL"/>
        </w:rPr>
        <w:t xml:space="preserve">e, </w:t>
      </w:r>
      <w:r w:rsidR="00396BBD">
        <w:rPr>
          <w:rFonts w:ascii="Times New Roman" w:hAnsi="Times New Roman" w:cs="Times New Roman"/>
          <w:sz w:val="24"/>
          <w:szCs w:val="24"/>
          <w:lang w:val="pl-PL"/>
        </w:rPr>
        <w:t>wzajemn</w:t>
      </w:r>
      <w:r w:rsidR="005869E8">
        <w:rPr>
          <w:rFonts w:ascii="Times New Roman" w:hAnsi="Times New Roman" w:cs="Times New Roman"/>
          <w:sz w:val="24"/>
          <w:szCs w:val="24"/>
          <w:lang w:val="pl-PL"/>
        </w:rPr>
        <w:t>e, często rozłożone w czasie</w:t>
      </w:r>
      <w:r w:rsidR="00396BBD">
        <w:rPr>
          <w:rFonts w:ascii="Times New Roman" w:hAnsi="Times New Roman" w:cs="Times New Roman"/>
          <w:sz w:val="24"/>
          <w:szCs w:val="24"/>
          <w:lang w:val="pl-PL"/>
        </w:rPr>
        <w:t xml:space="preserve"> relacj</w:t>
      </w:r>
      <w:r w:rsidR="005869E8">
        <w:rPr>
          <w:rFonts w:ascii="Times New Roman" w:hAnsi="Times New Roman" w:cs="Times New Roman"/>
          <w:sz w:val="24"/>
          <w:szCs w:val="24"/>
          <w:lang w:val="pl-PL"/>
        </w:rPr>
        <w:t>e</w:t>
      </w:r>
      <w:r w:rsidR="00396BBD">
        <w:rPr>
          <w:rFonts w:ascii="Times New Roman" w:hAnsi="Times New Roman" w:cs="Times New Roman"/>
          <w:sz w:val="24"/>
          <w:szCs w:val="24"/>
          <w:lang w:val="pl-PL"/>
        </w:rPr>
        <w:t xml:space="preserve"> pomiędzy wzrostem gospodarczym a </w:t>
      </w:r>
      <w:r w:rsidR="005869E8">
        <w:rPr>
          <w:rFonts w:ascii="Times New Roman" w:hAnsi="Times New Roman" w:cs="Times New Roman"/>
          <w:sz w:val="24"/>
          <w:szCs w:val="24"/>
          <w:lang w:val="pl-PL"/>
        </w:rPr>
        <w:t xml:space="preserve">polityką fiskalną, są </w:t>
      </w:r>
      <w:r w:rsidR="007B488D">
        <w:rPr>
          <w:rFonts w:ascii="Times New Roman" w:hAnsi="Times New Roman" w:cs="Times New Roman"/>
          <w:sz w:val="24"/>
          <w:szCs w:val="24"/>
          <w:lang w:val="pl-PL"/>
        </w:rPr>
        <w:t xml:space="preserve">bardzo </w:t>
      </w:r>
      <w:r w:rsidR="005869E8">
        <w:rPr>
          <w:rFonts w:ascii="Times New Roman" w:hAnsi="Times New Roman" w:cs="Times New Roman"/>
          <w:sz w:val="24"/>
          <w:szCs w:val="24"/>
          <w:lang w:val="pl-PL"/>
        </w:rPr>
        <w:t xml:space="preserve">trudne do modelowania,  pomimo zastosowania zaawansowanych narzędzi ekonometrycznych. </w:t>
      </w:r>
      <w:r w:rsidR="00E52D6F">
        <w:rPr>
          <w:rFonts w:ascii="Times New Roman" w:hAnsi="Times New Roman" w:cs="Times New Roman"/>
          <w:sz w:val="24"/>
          <w:szCs w:val="24"/>
          <w:lang w:val="pl-PL"/>
        </w:rPr>
        <w:t>M</w:t>
      </w:r>
      <w:r w:rsidR="005869E8">
        <w:rPr>
          <w:rFonts w:ascii="Times New Roman" w:hAnsi="Times New Roman" w:cs="Times New Roman"/>
          <w:sz w:val="24"/>
          <w:szCs w:val="24"/>
          <w:lang w:val="pl-PL"/>
        </w:rPr>
        <w:t xml:space="preserve">imo iż analizy empiryczne </w:t>
      </w:r>
      <w:r w:rsidR="007B488D">
        <w:rPr>
          <w:rFonts w:ascii="Times New Roman" w:hAnsi="Times New Roman" w:cs="Times New Roman"/>
          <w:sz w:val="24"/>
          <w:szCs w:val="24"/>
          <w:lang w:val="pl-PL"/>
        </w:rPr>
        <w:t xml:space="preserve">wciąż </w:t>
      </w:r>
      <w:r w:rsidR="005869E8">
        <w:rPr>
          <w:rFonts w:ascii="Times New Roman" w:hAnsi="Times New Roman" w:cs="Times New Roman"/>
          <w:sz w:val="24"/>
          <w:szCs w:val="24"/>
          <w:lang w:val="pl-PL"/>
        </w:rPr>
        <w:t xml:space="preserve">nie dostarczyły jednoznacznych konkluzji i rekomendacji dla polityków, pozwoliły </w:t>
      </w:r>
      <w:r w:rsidR="00E52D6F">
        <w:rPr>
          <w:rFonts w:ascii="Times New Roman" w:hAnsi="Times New Roman" w:cs="Times New Roman"/>
          <w:sz w:val="24"/>
          <w:szCs w:val="24"/>
          <w:lang w:val="pl-PL"/>
        </w:rPr>
        <w:t xml:space="preserve">jednak </w:t>
      </w:r>
      <w:r w:rsidR="005869E8">
        <w:rPr>
          <w:rFonts w:ascii="Times New Roman" w:hAnsi="Times New Roman" w:cs="Times New Roman"/>
          <w:sz w:val="24"/>
          <w:szCs w:val="24"/>
          <w:lang w:val="pl-PL"/>
        </w:rPr>
        <w:t xml:space="preserve">lepiej zrozumieć mechanizm interwencji fiskalnej i częściowo zidentyfikować warunki niezbędne dla jej skuteczności. </w:t>
      </w:r>
    </w:p>
    <w:p w:rsidR="005869E8" w:rsidRDefault="005869E8" w:rsidP="001D2B0C">
      <w:pPr>
        <w:spacing w:after="0" w:line="360" w:lineRule="auto"/>
        <w:ind w:firstLine="72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Jednym z narzędzi fiskalnych </w:t>
      </w:r>
      <w:r w:rsidR="00C36A15">
        <w:rPr>
          <w:rFonts w:ascii="Times New Roman" w:hAnsi="Times New Roman" w:cs="Times New Roman"/>
          <w:sz w:val="24"/>
          <w:szCs w:val="24"/>
          <w:lang w:val="pl-PL"/>
        </w:rPr>
        <w:t xml:space="preserve">umożliwiających </w:t>
      </w:r>
      <w:proofErr w:type="spellStart"/>
      <w:r w:rsidR="00133F53">
        <w:rPr>
          <w:rFonts w:ascii="Times New Roman" w:hAnsi="Times New Roman" w:cs="Times New Roman"/>
          <w:sz w:val="24"/>
          <w:szCs w:val="24"/>
          <w:lang w:val="pl-PL"/>
        </w:rPr>
        <w:t>prowzrostowe</w:t>
      </w:r>
      <w:proofErr w:type="spellEnd"/>
      <w:r w:rsidR="00133F53">
        <w:rPr>
          <w:rFonts w:ascii="Times New Roman" w:hAnsi="Times New Roman" w:cs="Times New Roman"/>
          <w:sz w:val="24"/>
          <w:szCs w:val="24"/>
          <w:lang w:val="pl-PL"/>
        </w:rPr>
        <w:t xml:space="preserve"> interwencje </w:t>
      </w:r>
      <w:r w:rsidR="00C36A15">
        <w:rPr>
          <w:rFonts w:ascii="Times New Roman" w:hAnsi="Times New Roman" w:cs="Times New Roman"/>
          <w:sz w:val="24"/>
          <w:szCs w:val="24"/>
          <w:lang w:val="pl-PL"/>
        </w:rPr>
        <w:t xml:space="preserve">są wydatki publiczne, za pomocą których państwo dokonuje alokacji środków w różnych obszarach gospodarki. Jednakże </w:t>
      </w:r>
      <w:r w:rsidR="00E52D6F">
        <w:rPr>
          <w:rFonts w:ascii="Times New Roman" w:hAnsi="Times New Roman" w:cs="Times New Roman"/>
          <w:sz w:val="24"/>
          <w:szCs w:val="24"/>
          <w:lang w:val="pl-PL"/>
        </w:rPr>
        <w:t>aby skutecznie</w:t>
      </w:r>
      <w:r w:rsidR="00C36A15">
        <w:rPr>
          <w:rFonts w:ascii="Times New Roman" w:hAnsi="Times New Roman" w:cs="Times New Roman"/>
          <w:sz w:val="24"/>
          <w:szCs w:val="24"/>
          <w:lang w:val="pl-PL"/>
        </w:rPr>
        <w:t xml:space="preserve"> </w:t>
      </w:r>
      <w:r w:rsidR="00E52D6F">
        <w:rPr>
          <w:rFonts w:ascii="Times New Roman" w:hAnsi="Times New Roman" w:cs="Times New Roman"/>
          <w:sz w:val="24"/>
          <w:szCs w:val="24"/>
          <w:lang w:val="pl-PL"/>
        </w:rPr>
        <w:t>je</w:t>
      </w:r>
      <w:r w:rsidR="00CD17A5">
        <w:rPr>
          <w:rFonts w:ascii="Times New Roman" w:hAnsi="Times New Roman" w:cs="Times New Roman"/>
          <w:sz w:val="24"/>
          <w:szCs w:val="24"/>
          <w:lang w:val="pl-PL"/>
        </w:rPr>
        <w:t xml:space="preserve"> </w:t>
      </w:r>
      <w:r w:rsidR="00E52D6F">
        <w:rPr>
          <w:rFonts w:ascii="Times New Roman" w:hAnsi="Times New Roman" w:cs="Times New Roman"/>
          <w:sz w:val="24"/>
          <w:szCs w:val="24"/>
          <w:lang w:val="pl-PL"/>
        </w:rPr>
        <w:t xml:space="preserve">stosować należy nie tylko </w:t>
      </w:r>
      <w:r w:rsidR="00116B40">
        <w:rPr>
          <w:rFonts w:ascii="Times New Roman" w:hAnsi="Times New Roman" w:cs="Times New Roman"/>
          <w:sz w:val="24"/>
          <w:szCs w:val="24"/>
          <w:lang w:val="pl-PL"/>
        </w:rPr>
        <w:t>odpowiednio</w:t>
      </w:r>
      <w:r w:rsidR="00E52D6F">
        <w:rPr>
          <w:rFonts w:ascii="Times New Roman" w:hAnsi="Times New Roman" w:cs="Times New Roman"/>
          <w:sz w:val="24"/>
          <w:szCs w:val="24"/>
          <w:lang w:val="pl-PL"/>
        </w:rPr>
        <w:t xml:space="preserve"> dopasować ich wysokość, uwzględniając nieliniowość </w:t>
      </w:r>
      <w:r w:rsidR="00133F53">
        <w:rPr>
          <w:rFonts w:ascii="Times New Roman" w:hAnsi="Times New Roman" w:cs="Times New Roman"/>
          <w:sz w:val="24"/>
          <w:szCs w:val="24"/>
          <w:lang w:val="pl-PL"/>
        </w:rPr>
        <w:t xml:space="preserve">ich wpływu na wzrost gospodarczy, </w:t>
      </w:r>
      <w:r w:rsidR="00CD17A5">
        <w:rPr>
          <w:rFonts w:ascii="Times New Roman" w:hAnsi="Times New Roman" w:cs="Times New Roman"/>
          <w:sz w:val="24"/>
          <w:szCs w:val="24"/>
          <w:lang w:val="pl-PL"/>
        </w:rPr>
        <w:t xml:space="preserve"> </w:t>
      </w:r>
      <w:r w:rsidR="00133F53">
        <w:rPr>
          <w:rFonts w:ascii="Times New Roman" w:hAnsi="Times New Roman" w:cs="Times New Roman"/>
          <w:sz w:val="24"/>
          <w:szCs w:val="24"/>
          <w:lang w:val="pl-PL"/>
        </w:rPr>
        <w:t>ale także zapewnić odpowiednią ich strukturę</w:t>
      </w:r>
      <w:r w:rsidR="00116B40">
        <w:rPr>
          <w:rFonts w:ascii="Times New Roman" w:hAnsi="Times New Roman" w:cs="Times New Roman"/>
          <w:sz w:val="24"/>
          <w:szCs w:val="24"/>
          <w:lang w:val="pl-PL"/>
        </w:rPr>
        <w:t>, biorąc pod uwagę charakter wydatków cząstkowych i ich efektywność. Problem optymalizacji struktury wydatków jest szczególnie istotny w warunkach silnych ograniczeń budżetowych, gdzie niezbędny wzrost określonych wydatków nie może być finansowany z</w:t>
      </w:r>
      <w:r w:rsidR="00191650">
        <w:rPr>
          <w:rFonts w:ascii="Times New Roman" w:hAnsi="Times New Roman" w:cs="Times New Roman"/>
          <w:sz w:val="24"/>
          <w:szCs w:val="24"/>
          <w:lang w:val="pl-PL"/>
        </w:rPr>
        <w:t>e</w:t>
      </w:r>
      <w:r w:rsidR="00116B40">
        <w:rPr>
          <w:rFonts w:ascii="Times New Roman" w:hAnsi="Times New Roman" w:cs="Times New Roman"/>
          <w:sz w:val="24"/>
          <w:szCs w:val="24"/>
          <w:lang w:val="pl-PL"/>
        </w:rPr>
        <w:t xml:space="preserve"> wzrostu obciążeń podatkowych ani z deficytu, a jedynie poprzez ograniczenie innych rodzajów wydatków. </w:t>
      </w:r>
    </w:p>
    <w:p w:rsidR="002C1118" w:rsidRDefault="008C0745" w:rsidP="00191650">
      <w:pPr>
        <w:spacing w:after="0"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00116B40">
        <w:rPr>
          <w:rFonts w:ascii="Times New Roman" w:hAnsi="Times New Roman" w:cs="Times New Roman"/>
          <w:sz w:val="24"/>
          <w:szCs w:val="24"/>
          <w:lang w:val="pl-PL"/>
        </w:rPr>
        <w:tab/>
      </w:r>
      <w:r>
        <w:rPr>
          <w:rFonts w:ascii="Times New Roman" w:hAnsi="Times New Roman" w:cs="Times New Roman"/>
          <w:sz w:val="24"/>
          <w:szCs w:val="24"/>
          <w:lang w:val="pl-PL"/>
        </w:rPr>
        <w:t xml:space="preserve">Celem niniejszego artykułu jest porównanie wysokości i struktury wydatków </w:t>
      </w:r>
      <w:r w:rsidR="00116B40">
        <w:rPr>
          <w:rFonts w:ascii="Times New Roman" w:hAnsi="Times New Roman" w:cs="Times New Roman"/>
          <w:sz w:val="24"/>
          <w:szCs w:val="24"/>
          <w:lang w:val="pl-PL"/>
        </w:rPr>
        <w:t xml:space="preserve">publicznych </w:t>
      </w:r>
      <w:r>
        <w:rPr>
          <w:rFonts w:ascii="Times New Roman" w:hAnsi="Times New Roman" w:cs="Times New Roman"/>
          <w:sz w:val="24"/>
          <w:szCs w:val="24"/>
          <w:lang w:val="pl-PL"/>
        </w:rPr>
        <w:t>w krajach Europy Środkowo-Wschodniej</w:t>
      </w:r>
      <w:r w:rsidR="00116B40">
        <w:rPr>
          <w:rFonts w:ascii="Times New Roman" w:hAnsi="Times New Roman" w:cs="Times New Roman"/>
          <w:sz w:val="24"/>
          <w:szCs w:val="24"/>
          <w:lang w:val="pl-PL"/>
        </w:rPr>
        <w:t xml:space="preserve"> w kontekście możliwości ich wykorzystania do stymulowania wzrostu gospodarki. W pracy weryfikacji empirycznej poddano tezę badawczą, że </w:t>
      </w:r>
      <w:r w:rsidR="0027792C">
        <w:rPr>
          <w:rFonts w:ascii="Times New Roman" w:hAnsi="Times New Roman" w:cs="Times New Roman"/>
          <w:sz w:val="24"/>
          <w:szCs w:val="24"/>
          <w:lang w:val="pl-PL"/>
        </w:rPr>
        <w:t xml:space="preserve">w krajach tych istnieje duże </w:t>
      </w:r>
      <w:r w:rsidR="00A658A2">
        <w:rPr>
          <w:rFonts w:ascii="Times New Roman" w:hAnsi="Times New Roman" w:cs="Times New Roman"/>
          <w:sz w:val="24"/>
          <w:szCs w:val="24"/>
          <w:lang w:val="pl-PL"/>
        </w:rPr>
        <w:t xml:space="preserve">i nie zanikające </w:t>
      </w:r>
      <w:r w:rsidR="0027792C">
        <w:rPr>
          <w:rFonts w:ascii="Times New Roman" w:hAnsi="Times New Roman" w:cs="Times New Roman"/>
          <w:sz w:val="24"/>
          <w:szCs w:val="24"/>
          <w:lang w:val="pl-PL"/>
        </w:rPr>
        <w:t>zróżnicowanie w strukturze wydatków publicznych, odzwierciedlające potrzebę zindywidualizowanej polityki fiskalnej</w:t>
      </w:r>
      <w:r w:rsidR="00A658A2">
        <w:rPr>
          <w:rFonts w:ascii="Times New Roman" w:hAnsi="Times New Roman" w:cs="Times New Roman"/>
          <w:sz w:val="24"/>
          <w:szCs w:val="24"/>
          <w:lang w:val="pl-PL"/>
        </w:rPr>
        <w:t xml:space="preserve">, w różny sposób ustalającej balans pomiędzy realizacją celów </w:t>
      </w:r>
      <w:r w:rsidR="00A658A2">
        <w:rPr>
          <w:rFonts w:ascii="Times New Roman" w:hAnsi="Times New Roman" w:cs="Times New Roman"/>
          <w:sz w:val="24"/>
          <w:szCs w:val="24"/>
          <w:lang w:val="pl-PL"/>
        </w:rPr>
        <w:lastRenderedPageBreak/>
        <w:t xml:space="preserve">gospodarczych i społecznych. </w:t>
      </w:r>
      <w:r w:rsidR="0027792C">
        <w:rPr>
          <w:rFonts w:ascii="Times New Roman" w:hAnsi="Times New Roman" w:cs="Times New Roman"/>
          <w:sz w:val="24"/>
          <w:szCs w:val="24"/>
          <w:lang w:val="pl-PL"/>
        </w:rPr>
        <w:t>Analizę empiryczną oparto na danych o wydatkach publicznych dla 11 krajów ESW za okres 2002-2014, w podziale według ich funkcji (</w:t>
      </w:r>
      <w:r w:rsidR="001D2B0C">
        <w:rPr>
          <w:rFonts w:ascii="Times New Roman" w:hAnsi="Times New Roman" w:cs="Times New Roman"/>
          <w:sz w:val="24"/>
          <w:szCs w:val="24"/>
          <w:lang w:val="pl-PL"/>
        </w:rPr>
        <w:t xml:space="preserve">COFOG - </w:t>
      </w:r>
      <w:proofErr w:type="spellStart"/>
      <w:r w:rsidR="0027792C" w:rsidRPr="001D2B0C">
        <w:rPr>
          <w:rFonts w:ascii="Times New Roman" w:hAnsi="Times New Roman" w:cs="Times New Roman"/>
          <w:i/>
          <w:sz w:val="24"/>
          <w:szCs w:val="24"/>
          <w:lang w:val="pl-PL"/>
        </w:rPr>
        <w:t>C</w:t>
      </w:r>
      <w:r w:rsidR="001D2B0C" w:rsidRPr="001D2B0C">
        <w:rPr>
          <w:rFonts w:ascii="Times New Roman" w:hAnsi="Times New Roman" w:cs="Times New Roman"/>
          <w:i/>
          <w:sz w:val="24"/>
          <w:szCs w:val="24"/>
          <w:lang w:val="pl-PL"/>
        </w:rPr>
        <w:t>lassification</w:t>
      </w:r>
      <w:proofErr w:type="spellEnd"/>
      <w:r w:rsidR="001D2B0C" w:rsidRPr="001D2B0C">
        <w:rPr>
          <w:rFonts w:ascii="Times New Roman" w:hAnsi="Times New Roman" w:cs="Times New Roman"/>
          <w:i/>
          <w:sz w:val="24"/>
          <w:szCs w:val="24"/>
          <w:lang w:val="pl-PL"/>
        </w:rPr>
        <w:t xml:space="preserve"> of the </w:t>
      </w:r>
      <w:proofErr w:type="spellStart"/>
      <w:r w:rsidR="0027792C" w:rsidRPr="001D2B0C">
        <w:rPr>
          <w:rFonts w:ascii="Times New Roman" w:hAnsi="Times New Roman" w:cs="Times New Roman"/>
          <w:i/>
          <w:sz w:val="24"/>
          <w:szCs w:val="24"/>
          <w:lang w:val="pl-PL"/>
        </w:rPr>
        <w:t>F</w:t>
      </w:r>
      <w:r w:rsidR="001D2B0C" w:rsidRPr="001D2B0C">
        <w:rPr>
          <w:rFonts w:ascii="Times New Roman" w:hAnsi="Times New Roman" w:cs="Times New Roman"/>
          <w:i/>
          <w:sz w:val="24"/>
          <w:szCs w:val="24"/>
          <w:lang w:val="pl-PL"/>
        </w:rPr>
        <w:t>unctions</w:t>
      </w:r>
      <w:proofErr w:type="spellEnd"/>
      <w:r w:rsidR="001D2B0C" w:rsidRPr="001D2B0C">
        <w:rPr>
          <w:rFonts w:ascii="Times New Roman" w:hAnsi="Times New Roman" w:cs="Times New Roman"/>
          <w:i/>
          <w:sz w:val="24"/>
          <w:szCs w:val="24"/>
          <w:lang w:val="pl-PL"/>
        </w:rPr>
        <w:t xml:space="preserve"> of </w:t>
      </w:r>
      <w:proofErr w:type="spellStart"/>
      <w:r w:rsidR="001D2B0C" w:rsidRPr="001D2B0C">
        <w:rPr>
          <w:rFonts w:ascii="Times New Roman" w:hAnsi="Times New Roman" w:cs="Times New Roman"/>
          <w:i/>
          <w:sz w:val="24"/>
          <w:szCs w:val="24"/>
          <w:lang w:val="pl-PL"/>
        </w:rPr>
        <w:t>Government</w:t>
      </w:r>
      <w:proofErr w:type="spellEnd"/>
      <w:r w:rsidR="0027792C">
        <w:rPr>
          <w:rFonts w:ascii="Times New Roman" w:hAnsi="Times New Roman" w:cs="Times New Roman"/>
          <w:sz w:val="24"/>
          <w:szCs w:val="24"/>
          <w:lang w:val="pl-PL"/>
        </w:rPr>
        <w:t>)</w:t>
      </w:r>
      <w:r w:rsidR="00A658A2">
        <w:rPr>
          <w:rFonts w:ascii="Times New Roman" w:hAnsi="Times New Roman" w:cs="Times New Roman"/>
          <w:sz w:val="24"/>
          <w:szCs w:val="24"/>
          <w:lang w:val="pl-PL"/>
        </w:rPr>
        <w:t xml:space="preserve">. </w:t>
      </w:r>
      <w:r w:rsidR="00BD2672">
        <w:rPr>
          <w:rFonts w:ascii="Times New Roman" w:hAnsi="Times New Roman" w:cs="Times New Roman"/>
          <w:sz w:val="24"/>
          <w:szCs w:val="24"/>
          <w:lang w:val="pl-PL"/>
        </w:rPr>
        <w:t xml:space="preserve">Ze względu na niedużą próbę badawczą (szeregi czasowe nie mogły być wydłużone ze względu na niedostępność danych </w:t>
      </w:r>
      <w:r w:rsidR="001D2B0C">
        <w:rPr>
          <w:rFonts w:ascii="Times New Roman" w:hAnsi="Times New Roman" w:cs="Times New Roman"/>
          <w:sz w:val="24"/>
          <w:szCs w:val="24"/>
          <w:lang w:val="pl-PL"/>
        </w:rPr>
        <w:t xml:space="preserve">sprzed 2002 roku </w:t>
      </w:r>
      <w:r w:rsidR="00BD2672">
        <w:rPr>
          <w:rFonts w:ascii="Times New Roman" w:hAnsi="Times New Roman" w:cs="Times New Roman"/>
          <w:sz w:val="24"/>
          <w:szCs w:val="24"/>
          <w:lang w:val="pl-PL"/>
        </w:rPr>
        <w:t xml:space="preserve">dla </w:t>
      </w:r>
      <w:r w:rsidR="00A77527">
        <w:rPr>
          <w:rFonts w:ascii="Times New Roman" w:hAnsi="Times New Roman" w:cs="Times New Roman"/>
          <w:sz w:val="24"/>
          <w:szCs w:val="24"/>
          <w:lang w:val="pl-PL"/>
        </w:rPr>
        <w:t>czę</w:t>
      </w:r>
      <w:r w:rsidR="00352D7F">
        <w:rPr>
          <w:rFonts w:ascii="Times New Roman" w:hAnsi="Times New Roman" w:cs="Times New Roman"/>
          <w:sz w:val="24"/>
          <w:szCs w:val="24"/>
          <w:lang w:val="pl-PL"/>
        </w:rPr>
        <w:t>ś</w:t>
      </w:r>
      <w:r w:rsidR="00A77527">
        <w:rPr>
          <w:rFonts w:ascii="Times New Roman" w:hAnsi="Times New Roman" w:cs="Times New Roman"/>
          <w:sz w:val="24"/>
          <w:szCs w:val="24"/>
          <w:lang w:val="pl-PL"/>
        </w:rPr>
        <w:t>ci</w:t>
      </w:r>
      <w:r w:rsidR="00BD2672">
        <w:rPr>
          <w:rFonts w:ascii="Times New Roman" w:hAnsi="Times New Roman" w:cs="Times New Roman"/>
          <w:sz w:val="24"/>
          <w:szCs w:val="24"/>
          <w:lang w:val="pl-PL"/>
        </w:rPr>
        <w:t xml:space="preserve"> krajów) w</w:t>
      </w:r>
      <w:r w:rsidR="00A658A2">
        <w:rPr>
          <w:rFonts w:ascii="Times New Roman" w:hAnsi="Times New Roman" w:cs="Times New Roman"/>
          <w:sz w:val="24"/>
          <w:szCs w:val="24"/>
          <w:lang w:val="pl-PL"/>
        </w:rPr>
        <w:t>ykorzystaną metodą badań była</w:t>
      </w:r>
      <w:r w:rsidR="00BD2672">
        <w:rPr>
          <w:rFonts w:ascii="Times New Roman" w:hAnsi="Times New Roman" w:cs="Times New Roman"/>
          <w:sz w:val="24"/>
          <w:szCs w:val="24"/>
          <w:lang w:val="pl-PL"/>
        </w:rPr>
        <w:t xml:space="preserve"> głównie</w:t>
      </w:r>
      <w:r w:rsidR="00A658A2">
        <w:rPr>
          <w:rFonts w:ascii="Times New Roman" w:hAnsi="Times New Roman" w:cs="Times New Roman"/>
          <w:sz w:val="24"/>
          <w:szCs w:val="24"/>
          <w:lang w:val="pl-PL"/>
        </w:rPr>
        <w:t xml:space="preserve"> analiza porównawcza</w:t>
      </w:r>
      <w:r w:rsidR="00BD2672">
        <w:rPr>
          <w:rFonts w:ascii="Times New Roman" w:hAnsi="Times New Roman" w:cs="Times New Roman"/>
          <w:sz w:val="24"/>
          <w:szCs w:val="24"/>
          <w:lang w:val="pl-PL"/>
        </w:rPr>
        <w:t xml:space="preserve">, </w:t>
      </w:r>
      <w:r w:rsidR="001D2B0C">
        <w:rPr>
          <w:rFonts w:ascii="Times New Roman" w:hAnsi="Times New Roman" w:cs="Times New Roman"/>
          <w:sz w:val="24"/>
          <w:szCs w:val="24"/>
          <w:lang w:val="pl-PL"/>
        </w:rPr>
        <w:t>uzupełniona p</w:t>
      </w:r>
      <w:r w:rsidR="00BD2672">
        <w:rPr>
          <w:rFonts w:ascii="Times New Roman" w:hAnsi="Times New Roman" w:cs="Times New Roman"/>
          <w:sz w:val="24"/>
          <w:szCs w:val="24"/>
          <w:lang w:val="pl-PL"/>
        </w:rPr>
        <w:t>anelow</w:t>
      </w:r>
      <w:r w:rsidR="001D2B0C">
        <w:rPr>
          <w:rFonts w:ascii="Times New Roman" w:hAnsi="Times New Roman" w:cs="Times New Roman"/>
          <w:sz w:val="24"/>
          <w:szCs w:val="24"/>
          <w:lang w:val="pl-PL"/>
        </w:rPr>
        <w:t>ymi</w:t>
      </w:r>
      <w:r w:rsidR="00BD2672">
        <w:rPr>
          <w:rFonts w:ascii="Times New Roman" w:hAnsi="Times New Roman" w:cs="Times New Roman"/>
          <w:sz w:val="24"/>
          <w:szCs w:val="24"/>
          <w:lang w:val="pl-PL"/>
        </w:rPr>
        <w:t xml:space="preserve"> model</w:t>
      </w:r>
      <w:r w:rsidR="001D2B0C">
        <w:rPr>
          <w:rFonts w:ascii="Times New Roman" w:hAnsi="Times New Roman" w:cs="Times New Roman"/>
          <w:sz w:val="24"/>
          <w:szCs w:val="24"/>
          <w:lang w:val="pl-PL"/>
        </w:rPr>
        <w:t>ami</w:t>
      </w:r>
      <w:r w:rsidR="00BD2672">
        <w:rPr>
          <w:rFonts w:ascii="Times New Roman" w:hAnsi="Times New Roman" w:cs="Times New Roman"/>
          <w:sz w:val="24"/>
          <w:szCs w:val="24"/>
          <w:lang w:val="pl-PL"/>
        </w:rPr>
        <w:t xml:space="preserve"> regresji.</w:t>
      </w:r>
    </w:p>
    <w:p w:rsidR="00CD17A5" w:rsidRDefault="00BD2672" w:rsidP="00674034">
      <w:pPr>
        <w:spacing w:after="0" w:line="360" w:lineRule="auto"/>
        <w:ind w:firstLine="709"/>
        <w:jc w:val="both"/>
        <w:rPr>
          <w:rFonts w:ascii="Times New Roman" w:hAnsi="Times New Roman" w:cs="Times New Roman"/>
          <w:sz w:val="24"/>
          <w:szCs w:val="24"/>
          <w:lang w:val="pl-PL"/>
        </w:rPr>
      </w:pPr>
      <w:r>
        <w:rPr>
          <w:rFonts w:ascii="Times New Roman" w:hAnsi="Times New Roman" w:cs="Times New Roman"/>
          <w:sz w:val="24"/>
          <w:szCs w:val="24"/>
          <w:lang w:val="pl-PL"/>
        </w:rPr>
        <w:t>Pozostała</w:t>
      </w:r>
      <w:r w:rsidR="009E61B6">
        <w:rPr>
          <w:rFonts w:ascii="Times New Roman" w:hAnsi="Times New Roman" w:cs="Times New Roman"/>
          <w:sz w:val="24"/>
          <w:szCs w:val="24"/>
          <w:lang w:val="pl-PL"/>
        </w:rPr>
        <w:t xml:space="preserve"> część artykułu</w:t>
      </w:r>
      <w:r>
        <w:rPr>
          <w:rFonts w:ascii="Times New Roman" w:hAnsi="Times New Roman" w:cs="Times New Roman"/>
          <w:sz w:val="24"/>
          <w:szCs w:val="24"/>
          <w:lang w:val="pl-PL"/>
        </w:rPr>
        <w:t xml:space="preserve"> ma następującą strukturę: rozdział pierwszy nakreśla tło przedstawiając skrótowo </w:t>
      </w:r>
      <w:r w:rsidRPr="00BD2672">
        <w:rPr>
          <w:rFonts w:ascii="Times New Roman" w:hAnsi="Times New Roman" w:cs="Times New Roman"/>
          <w:sz w:val="24"/>
          <w:szCs w:val="24"/>
          <w:lang w:val="pl-PL"/>
        </w:rPr>
        <w:t xml:space="preserve">teoretyczne i </w:t>
      </w:r>
      <w:r>
        <w:rPr>
          <w:rFonts w:ascii="Times New Roman" w:hAnsi="Times New Roman" w:cs="Times New Roman"/>
          <w:sz w:val="24"/>
          <w:szCs w:val="24"/>
          <w:lang w:val="pl-PL"/>
        </w:rPr>
        <w:t xml:space="preserve">empiryczne </w:t>
      </w:r>
      <w:r w:rsidRPr="00BD2672">
        <w:rPr>
          <w:rFonts w:ascii="Times New Roman" w:hAnsi="Times New Roman" w:cs="Times New Roman"/>
          <w:sz w:val="24"/>
          <w:szCs w:val="24"/>
          <w:lang w:val="pl-PL"/>
        </w:rPr>
        <w:t xml:space="preserve">wnioski z </w:t>
      </w:r>
      <w:r w:rsidR="00191650">
        <w:rPr>
          <w:rFonts w:ascii="Times New Roman" w:hAnsi="Times New Roman" w:cs="Times New Roman"/>
          <w:sz w:val="24"/>
          <w:szCs w:val="24"/>
          <w:lang w:val="pl-PL"/>
        </w:rPr>
        <w:t>literatury przedmiotu</w:t>
      </w:r>
      <w:r w:rsidRPr="00BD2672">
        <w:rPr>
          <w:rFonts w:ascii="Times New Roman" w:hAnsi="Times New Roman" w:cs="Times New Roman"/>
          <w:sz w:val="24"/>
          <w:szCs w:val="24"/>
          <w:lang w:val="pl-PL"/>
        </w:rPr>
        <w:t xml:space="preserve"> </w:t>
      </w:r>
      <w:r w:rsidR="00191650">
        <w:rPr>
          <w:rFonts w:ascii="Times New Roman" w:hAnsi="Times New Roman" w:cs="Times New Roman"/>
          <w:sz w:val="24"/>
          <w:szCs w:val="24"/>
          <w:lang w:val="pl-PL"/>
        </w:rPr>
        <w:t xml:space="preserve">dotyczące wpływu wydatków publicznych na wzrost gospodarczy, w rozdziale drugim porównano wysokość, a w rozdziale trzecim strukturę wydatków w krajach ESW, rozdział czwarty poświęcony jest </w:t>
      </w:r>
      <w:proofErr w:type="spellStart"/>
      <w:r w:rsidR="00191650">
        <w:rPr>
          <w:rFonts w:ascii="Times New Roman" w:hAnsi="Times New Roman" w:cs="Times New Roman"/>
          <w:sz w:val="24"/>
          <w:szCs w:val="24"/>
          <w:lang w:val="pl-PL"/>
        </w:rPr>
        <w:t>pro</w:t>
      </w:r>
      <w:r w:rsidR="001D2B0C">
        <w:rPr>
          <w:rFonts w:ascii="Times New Roman" w:hAnsi="Times New Roman" w:cs="Times New Roman"/>
          <w:sz w:val="24"/>
          <w:szCs w:val="24"/>
          <w:lang w:val="pl-PL"/>
        </w:rPr>
        <w:t>wzrostowym</w:t>
      </w:r>
      <w:proofErr w:type="spellEnd"/>
      <w:r w:rsidR="00191650">
        <w:rPr>
          <w:rFonts w:ascii="Times New Roman" w:hAnsi="Times New Roman" w:cs="Times New Roman"/>
          <w:sz w:val="24"/>
          <w:szCs w:val="24"/>
          <w:lang w:val="pl-PL"/>
        </w:rPr>
        <w:t xml:space="preserve"> aspektom związanym ze strukturą wydatków</w:t>
      </w:r>
      <w:r w:rsidR="00674034">
        <w:rPr>
          <w:rFonts w:ascii="Times New Roman" w:hAnsi="Times New Roman" w:cs="Times New Roman"/>
          <w:sz w:val="24"/>
          <w:szCs w:val="24"/>
          <w:lang w:val="pl-PL"/>
        </w:rPr>
        <w:t xml:space="preserve">, a </w:t>
      </w:r>
      <w:r w:rsidR="001D2B0C">
        <w:rPr>
          <w:rFonts w:ascii="Times New Roman" w:hAnsi="Times New Roman" w:cs="Times New Roman"/>
          <w:sz w:val="24"/>
          <w:szCs w:val="24"/>
          <w:lang w:val="pl-PL"/>
        </w:rPr>
        <w:t>wnioski końcowe</w:t>
      </w:r>
      <w:r w:rsidR="001D2B0C">
        <w:rPr>
          <w:rFonts w:ascii="Times New Roman" w:hAnsi="Times New Roman" w:cs="Times New Roman"/>
          <w:sz w:val="24"/>
          <w:szCs w:val="24"/>
          <w:lang w:val="pl-PL"/>
        </w:rPr>
        <w:t xml:space="preserve"> </w:t>
      </w:r>
      <w:r w:rsidR="001D2B0C">
        <w:rPr>
          <w:rFonts w:ascii="Times New Roman" w:hAnsi="Times New Roman" w:cs="Times New Roman"/>
          <w:sz w:val="24"/>
          <w:szCs w:val="24"/>
          <w:lang w:val="pl-PL"/>
        </w:rPr>
        <w:t>stanowią</w:t>
      </w:r>
      <w:r w:rsidR="001D2B0C">
        <w:rPr>
          <w:rFonts w:ascii="Times New Roman" w:hAnsi="Times New Roman" w:cs="Times New Roman"/>
          <w:sz w:val="24"/>
          <w:szCs w:val="24"/>
          <w:lang w:val="pl-PL"/>
        </w:rPr>
        <w:t xml:space="preserve"> </w:t>
      </w:r>
      <w:r w:rsidR="00674034">
        <w:rPr>
          <w:rFonts w:ascii="Times New Roman" w:hAnsi="Times New Roman" w:cs="Times New Roman"/>
          <w:sz w:val="24"/>
          <w:szCs w:val="24"/>
          <w:lang w:val="pl-PL"/>
        </w:rPr>
        <w:t>podsumowanie artykułu.</w:t>
      </w:r>
    </w:p>
    <w:p w:rsidR="00191650" w:rsidRDefault="00191650" w:rsidP="00191650">
      <w:pPr>
        <w:spacing w:after="0" w:line="360" w:lineRule="auto"/>
        <w:ind w:firstLine="709"/>
        <w:rPr>
          <w:rFonts w:ascii="Times New Roman" w:hAnsi="Times New Roman" w:cs="Times New Roman"/>
          <w:sz w:val="24"/>
          <w:szCs w:val="24"/>
          <w:lang w:val="pl-PL"/>
        </w:rPr>
      </w:pPr>
    </w:p>
    <w:p w:rsidR="00FF799C" w:rsidRPr="00BD2672" w:rsidRDefault="00FF799C" w:rsidP="001D2B0C">
      <w:pPr>
        <w:pStyle w:val="Akapitzlist"/>
        <w:numPr>
          <w:ilvl w:val="0"/>
          <w:numId w:val="8"/>
        </w:numPr>
        <w:spacing w:after="100" w:afterAutospacing="1" w:line="360" w:lineRule="auto"/>
        <w:ind w:left="426"/>
        <w:outlineLvl w:val="2"/>
        <w:rPr>
          <w:rFonts w:ascii="Times New Roman" w:eastAsia="Times New Roman" w:hAnsi="Times New Roman" w:cs="Times New Roman"/>
          <w:b/>
          <w:sz w:val="24"/>
          <w:szCs w:val="24"/>
          <w:lang w:val="pl-PL" w:eastAsia="pl-PL"/>
        </w:rPr>
      </w:pPr>
      <w:r w:rsidRPr="00BD2672">
        <w:rPr>
          <w:rFonts w:ascii="Times New Roman" w:eastAsia="Times New Roman" w:hAnsi="Times New Roman" w:cs="Times New Roman"/>
          <w:b/>
          <w:sz w:val="24"/>
          <w:szCs w:val="24"/>
          <w:lang w:val="pl-PL" w:eastAsia="pl-PL"/>
        </w:rPr>
        <w:t>Wydatki publiczne a wzrost gospodarczy: założenia teoretyczne i wnioski z badań empirycznych</w:t>
      </w:r>
    </w:p>
    <w:p w:rsidR="00FF799C" w:rsidRPr="00FF799C" w:rsidRDefault="00FF799C" w:rsidP="00FF799C">
      <w:pPr>
        <w:spacing w:after="0" w:line="360" w:lineRule="auto"/>
        <w:ind w:firstLine="708"/>
        <w:jc w:val="both"/>
        <w:outlineLvl w:val="2"/>
        <w:rPr>
          <w:rFonts w:ascii="Times New Roman" w:eastAsia="Times New Roman" w:hAnsi="Times New Roman" w:cs="Times New Roman"/>
          <w:sz w:val="24"/>
          <w:szCs w:val="24"/>
          <w:lang w:val="pl-PL" w:eastAsia="pl-PL"/>
        </w:rPr>
      </w:pPr>
      <w:r w:rsidRPr="00FF799C">
        <w:rPr>
          <w:rFonts w:ascii="Times New Roman" w:eastAsia="Times New Roman" w:hAnsi="Times New Roman" w:cs="Times New Roman"/>
          <w:sz w:val="24"/>
          <w:szCs w:val="24"/>
          <w:lang w:val="pl-PL" w:eastAsia="pl-PL"/>
        </w:rPr>
        <w:t>Mechanizm oddziaływania państwa na wzrost gospodarczy poprzez wykorzystanie narzędzi polityki fiskalnej jest jednym z najważniejszych zagadnień będących w obszarze badań finansów publicznych.  Teorie makroekonomii dotyczące wzrostu gospodarczego, dostarczają jednak zróżnicowanych odpowiedzi na pytanie  o skuteczność interwencji fiskalnej, w zależności  od założeń, postaci i uwarunkowań przyjętych modeli, w szczególności odróżniając możliwość oddziaływania krótkookresowego (dostosowawczego) od długookresowego (wpływ na długoterminową ścieżkę wzrostu).  W ramach nowej szkoły klasycznej zaproponowa</w:t>
      </w:r>
      <w:r w:rsidR="001D2B0C">
        <w:rPr>
          <w:rFonts w:ascii="Times New Roman" w:eastAsia="Times New Roman" w:hAnsi="Times New Roman" w:cs="Times New Roman"/>
          <w:sz w:val="24"/>
          <w:szCs w:val="24"/>
          <w:lang w:val="pl-PL" w:eastAsia="pl-PL"/>
        </w:rPr>
        <w:t>no</w:t>
      </w:r>
      <w:r w:rsidRPr="00FF799C">
        <w:rPr>
          <w:rFonts w:ascii="Times New Roman" w:eastAsia="Times New Roman" w:hAnsi="Times New Roman" w:cs="Times New Roman"/>
          <w:sz w:val="24"/>
          <w:szCs w:val="24"/>
          <w:lang w:val="pl-PL" w:eastAsia="pl-PL"/>
        </w:rPr>
        <w:t xml:space="preserve"> model do analizy ścieżek wzrostu zrównoważonego, w którym  wzrost poziomu oszczędności może spowodować wzrost poziomu przyszłego PKB, ale nie może trwale zwiększyć długoterminowej stopy wzrostu produkcji [Hall 1995, s.114-119].  Ważnym nurtem w badaniach nad długoterminowym wzrostem gospodarczym, który pojawił się w latach  80-90. XX wieku, </w:t>
      </w:r>
      <w:r w:rsidRPr="00674034">
        <w:rPr>
          <w:rFonts w:ascii="Times New Roman" w:eastAsia="Times New Roman" w:hAnsi="Times New Roman" w:cs="Times New Roman"/>
          <w:sz w:val="24"/>
          <w:szCs w:val="24"/>
          <w:lang w:val="pl-PL" w:eastAsia="pl-PL"/>
        </w:rPr>
        <w:t>jest teoria  wzrostu endogenicznego, która skupia się na wyjaśnieniu roli trzech czynników wzrostu – kapitału, pracy i  technologii. Ogromny wpływ na badania dotyczące odziaływania</w:t>
      </w:r>
      <w:r w:rsidRPr="00FF799C">
        <w:rPr>
          <w:rFonts w:ascii="Times New Roman" w:eastAsia="Times New Roman" w:hAnsi="Times New Roman" w:cs="Times New Roman"/>
          <w:sz w:val="24"/>
          <w:szCs w:val="24"/>
          <w:lang w:val="pl-PL" w:eastAsia="pl-PL"/>
        </w:rPr>
        <w:t xml:space="preserve"> wydatków publicznych na wzrost gospodarczy w ramach teorii endogenicznego wzrostu miał model zaproponowany przez </w:t>
      </w:r>
      <w:proofErr w:type="spellStart"/>
      <w:r w:rsidRPr="00FF799C">
        <w:rPr>
          <w:rFonts w:ascii="Times New Roman" w:eastAsia="Times New Roman" w:hAnsi="Times New Roman" w:cs="Times New Roman"/>
          <w:sz w:val="24"/>
          <w:szCs w:val="24"/>
          <w:lang w:val="pl-PL" w:eastAsia="pl-PL"/>
        </w:rPr>
        <w:t>R.J</w:t>
      </w:r>
      <w:r>
        <w:rPr>
          <w:rFonts w:ascii="Times New Roman" w:eastAsia="Times New Roman" w:hAnsi="Times New Roman" w:cs="Times New Roman"/>
          <w:sz w:val="24"/>
          <w:szCs w:val="24"/>
          <w:lang w:val="pl-PL" w:eastAsia="pl-PL"/>
        </w:rPr>
        <w:t>.</w:t>
      </w:r>
      <w:r w:rsidRPr="00FF799C">
        <w:rPr>
          <w:rFonts w:ascii="Times New Roman" w:eastAsia="Times New Roman" w:hAnsi="Times New Roman" w:cs="Times New Roman"/>
          <w:sz w:val="24"/>
          <w:szCs w:val="24"/>
          <w:lang w:val="pl-PL" w:eastAsia="pl-PL"/>
        </w:rPr>
        <w:t>Barro</w:t>
      </w:r>
      <w:proofErr w:type="spellEnd"/>
      <w:r>
        <w:rPr>
          <w:rFonts w:ascii="Times New Roman" w:eastAsia="Times New Roman" w:hAnsi="Times New Roman" w:cs="Times New Roman"/>
          <w:sz w:val="24"/>
          <w:szCs w:val="24"/>
          <w:lang w:val="pl-PL" w:eastAsia="pl-PL"/>
        </w:rPr>
        <w:t xml:space="preserve"> </w:t>
      </w:r>
      <w:r w:rsidRPr="00FF799C">
        <w:rPr>
          <w:rFonts w:ascii="Times New Roman" w:eastAsia="Times New Roman" w:hAnsi="Times New Roman" w:cs="Times New Roman"/>
          <w:sz w:val="24"/>
          <w:szCs w:val="24"/>
          <w:lang w:val="pl-PL" w:eastAsia="pl-PL"/>
        </w:rPr>
        <w:t xml:space="preserve">[1990], który został zaadoptowany i rozwijany przez wielu </w:t>
      </w:r>
      <w:r w:rsidRPr="00FF799C">
        <w:rPr>
          <w:rFonts w:ascii="Times New Roman" w:eastAsia="Times New Roman" w:hAnsi="Times New Roman" w:cs="Times New Roman"/>
          <w:sz w:val="24"/>
          <w:szCs w:val="24"/>
          <w:lang w:val="pl-PL" w:eastAsia="pl-PL"/>
        </w:rPr>
        <w:lastRenderedPageBreak/>
        <w:t>późniejszych badaczy. Teoria wzrostu endogenicznego, w przeciwieństwie do modelu Solowa, uwzględnia możliwość oddziaływania interwencji fiskalnych nie tylko na poziom PKB, ale także na stopę wzrostu produkcji. W długookresowych modelach wzrostu wpływ polityki fiskalnej  następuje poprzez oddziaływanie na jeden z czynników produkcji. Ze względu na efekt substytucji wpływanie na podaż pracy i kapitału jest ograniczone, w konsekwencji kluczowymi czynnikami są technologia i kapitał ludzki, które mogą być aktywnie kształtowane przez państwo poprzez taką alokację środków publicznych, które nie tylko same przyczynią się do wzrostu czynników technologicznych (np. przez wzrost poziomu wykształcenia), ale także przyciągną dodatkowe zasoby środków prywatnych (np. prywatne nakłady  na badania i rozwój). Wydatki państwa mogą zatem zintensyfikować postęp technologiczny i wzrost produktywności wynikający z inwestycji prywatnych i jest to główny argument uzasadniający interwencje. Potrzeba interwencji państwa jest związana z obecnością efektów zewnętrznych</w:t>
      </w:r>
      <w:r w:rsidR="001D2B0C">
        <w:rPr>
          <w:rFonts w:ascii="Times New Roman" w:eastAsia="Times New Roman" w:hAnsi="Times New Roman" w:cs="Times New Roman"/>
          <w:sz w:val="24"/>
          <w:szCs w:val="24"/>
          <w:lang w:val="pl-PL" w:eastAsia="pl-PL"/>
        </w:rPr>
        <w:t xml:space="preserve"> które</w:t>
      </w:r>
      <w:r w:rsidRPr="00FF799C">
        <w:rPr>
          <w:rFonts w:ascii="Times New Roman" w:eastAsia="Times New Roman" w:hAnsi="Times New Roman" w:cs="Times New Roman"/>
          <w:sz w:val="24"/>
          <w:szCs w:val="24"/>
          <w:lang w:val="pl-PL" w:eastAsia="pl-PL"/>
        </w:rPr>
        <w:t xml:space="preserve"> powoduj</w:t>
      </w:r>
      <w:r w:rsidR="001D2B0C">
        <w:rPr>
          <w:rFonts w:ascii="Times New Roman" w:eastAsia="Times New Roman" w:hAnsi="Times New Roman" w:cs="Times New Roman"/>
          <w:sz w:val="24"/>
          <w:szCs w:val="24"/>
          <w:lang w:val="pl-PL" w:eastAsia="pl-PL"/>
        </w:rPr>
        <w:t>ą</w:t>
      </w:r>
      <w:r w:rsidRPr="00FF799C">
        <w:rPr>
          <w:rFonts w:ascii="Times New Roman" w:eastAsia="Times New Roman" w:hAnsi="Times New Roman" w:cs="Times New Roman"/>
          <w:sz w:val="24"/>
          <w:szCs w:val="24"/>
          <w:lang w:val="pl-PL" w:eastAsia="pl-PL"/>
        </w:rPr>
        <w:t>, że stopa wzrostu gospodarki rynkowej jest niższa od optimum społecznego. Zadaniem państwa jest zatem z jednej strony intensyfikacja tworzenia nowej wiedzy (w sektorze publicznym, w sektorze prywatnym oraz na styku obydwu sektorów), z drugiej zaś usprawnienie rozprzestrzeniania się wiedzy zakumulowanej w przeszłości, co przyczyni się do wzrostu produk</w:t>
      </w:r>
      <w:r>
        <w:rPr>
          <w:rFonts w:ascii="Times New Roman" w:eastAsia="Times New Roman" w:hAnsi="Times New Roman" w:cs="Times New Roman"/>
          <w:sz w:val="24"/>
          <w:szCs w:val="24"/>
          <w:lang w:val="pl-PL" w:eastAsia="pl-PL"/>
        </w:rPr>
        <w:t xml:space="preserve">tywności inwestycji prywatnych </w:t>
      </w:r>
      <w:r w:rsidRPr="00FF799C">
        <w:rPr>
          <w:rFonts w:ascii="Times New Roman" w:eastAsia="Times New Roman" w:hAnsi="Times New Roman" w:cs="Times New Roman"/>
          <w:sz w:val="24"/>
          <w:szCs w:val="24"/>
          <w:lang w:val="pl-PL" w:eastAsia="pl-PL"/>
        </w:rPr>
        <w:t>[</w:t>
      </w:r>
      <w:proofErr w:type="spellStart"/>
      <w:r w:rsidRPr="00FF799C">
        <w:rPr>
          <w:rFonts w:ascii="Times New Roman" w:eastAsia="Times New Roman" w:hAnsi="Times New Roman" w:cs="Times New Roman"/>
          <w:sz w:val="24"/>
          <w:szCs w:val="24"/>
          <w:lang w:val="pl-PL" w:eastAsia="pl-PL"/>
        </w:rPr>
        <w:t>Acocella</w:t>
      </w:r>
      <w:proofErr w:type="spellEnd"/>
      <w:r w:rsidRPr="00FF799C">
        <w:rPr>
          <w:rFonts w:ascii="Times New Roman" w:eastAsia="Times New Roman" w:hAnsi="Times New Roman" w:cs="Times New Roman"/>
          <w:sz w:val="24"/>
          <w:szCs w:val="24"/>
          <w:lang w:val="pl-PL" w:eastAsia="pl-PL"/>
        </w:rPr>
        <w:t xml:space="preserve"> 2002, s.202-3]. Innym </w:t>
      </w:r>
      <w:r>
        <w:rPr>
          <w:rFonts w:ascii="Times New Roman" w:eastAsia="Times New Roman" w:hAnsi="Times New Roman" w:cs="Times New Roman"/>
          <w:sz w:val="24"/>
          <w:szCs w:val="24"/>
          <w:lang w:val="pl-PL" w:eastAsia="pl-PL"/>
        </w:rPr>
        <w:t>argumentem</w:t>
      </w:r>
      <w:r w:rsidRPr="00FF799C">
        <w:rPr>
          <w:rFonts w:ascii="Times New Roman" w:eastAsia="Times New Roman" w:hAnsi="Times New Roman" w:cs="Times New Roman"/>
          <w:sz w:val="24"/>
          <w:szCs w:val="24"/>
          <w:lang w:val="pl-PL" w:eastAsia="pl-PL"/>
        </w:rPr>
        <w:t xml:space="preserve"> dla interwencji państwa </w:t>
      </w:r>
      <w:r>
        <w:rPr>
          <w:rFonts w:ascii="Times New Roman" w:eastAsia="Times New Roman" w:hAnsi="Times New Roman" w:cs="Times New Roman"/>
          <w:sz w:val="24"/>
          <w:szCs w:val="24"/>
          <w:lang w:val="pl-PL" w:eastAsia="pl-PL"/>
        </w:rPr>
        <w:t>są</w:t>
      </w:r>
      <w:r w:rsidR="00352D7F">
        <w:rPr>
          <w:rFonts w:ascii="Times New Roman" w:eastAsia="Times New Roman" w:hAnsi="Times New Roman" w:cs="Times New Roman"/>
          <w:sz w:val="24"/>
          <w:szCs w:val="24"/>
          <w:lang w:val="pl-PL" w:eastAsia="pl-PL"/>
        </w:rPr>
        <w:t xml:space="preserve"> istniejące niesprawności rynku</w:t>
      </w:r>
      <w:r w:rsidR="001D2B0C">
        <w:rPr>
          <w:rFonts w:ascii="Times New Roman" w:eastAsia="Times New Roman" w:hAnsi="Times New Roman" w:cs="Times New Roman"/>
          <w:sz w:val="24"/>
          <w:szCs w:val="24"/>
          <w:lang w:val="pl-PL" w:eastAsia="pl-PL"/>
        </w:rPr>
        <w:t>,</w:t>
      </w:r>
      <w:r w:rsidR="00352D7F">
        <w:rPr>
          <w:rFonts w:ascii="Times New Roman" w:eastAsia="Times New Roman" w:hAnsi="Times New Roman" w:cs="Times New Roman"/>
          <w:sz w:val="24"/>
          <w:szCs w:val="24"/>
          <w:lang w:val="pl-PL" w:eastAsia="pl-PL"/>
        </w:rPr>
        <w:t xml:space="preserve"> takie jak </w:t>
      </w:r>
      <w:r>
        <w:rPr>
          <w:rFonts w:ascii="Times New Roman" w:eastAsia="Times New Roman" w:hAnsi="Times New Roman" w:cs="Times New Roman"/>
          <w:sz w:val="24"/>
          <w:szCs w:val="24"/>
          <w:lang w:val="pl-PL" w:eastAsia="pl-PL"/>
        </w:rPr>
        <w:t>niepełna</w:t>
      </w:r>
      <w:r w:rsidR="00352D7F">
        <w:rPr>
          <w:rFonts w:ascii="Times New Roman" w:eastAsia="Times New Roman" w:hAnsi="Times New Roman" w:cs="Times New Roman"/>
          <w:sz w:val="24"/>
          <w:szCs w:val="24"/>
          <w:lang w:val="pl-PL" w:eastAsia="pl-PL"/>
        </w:rPr>
        <w:t xml:space="preserve"> informacja czy </w:t>
      </w:r>
      <w:r w:rsidRPr="00FF799C">
        <w:rPr>
          <w:rFonts w:ascii="Times New Roman" w:eastAsia="Times New Roman" w:hAnsi="Times New Roman" w:cs="Times New Roman"/>
          <w:sz w:val="24"/>
          <w:szCs w:val="24"/>
          <w:lang w:val="pl-PL" w:eastAsia="pl-PL"/>
        </w:rPr>
        <w:t>niedoskonałości na rynkach finansowych</w:t>
      </w:r>
      <w:r w:rsidR="00352D7F">
        <w:rPr>
          <w:rFonts w:ascii="Times New Roman" w:eastAsia="Times New Roman" w:hAnsi="Times New Roman" w:cs="Times New Roman"/>
          <w:sz w:val="24"/>
          <w:szCs w:val="24"/>
          <w:lang w:val="pl-PL" w:eastAsia="pl-PL"/>
        </w:rPr>
        <w:t>.</w:t>
      </w:r>
    </w:p>
    <w:p w:rsidR="00FF799C" w:rsidRDefault="00FF799C" w:rsidP="00FF799C">
      <w:pPr>
        <w:spacing w:after="0" w:line="360" w:lineRule="auto"/>
        <w:ind w:firstLine="708"/>
        <w:jc w:val="both"/>
        <w:outlineLvl w:val="2"/>
        <w:rPr>
          <w:rFonts w:ascii="Times New Roman" w:eastAsia="Times New Roman" w:hAnsi="Times New Roman" w:cs="Times New Roman"/>
          <w:sz w:val="24"/>
          <w:szCs w:val="24"/>
          <w:lang w:val="pl-PL" w:eastAsia="pl-PL"/>
        </w:rPr>
      </w:pPr>
      <w:r w:rsidRPr="00FF799C">
        <w:rPr>
          <w:rFonts w:ascii="Times New Roman" w:eastAsia="Times New Roman" w:hAnsi="Times New Roman" w:cs="Times New Roman"/>
          <w:sz w:val="24"/>
          <w:szCs w:val="24"/>
          <w:lang w:val="pl-PL" w:eastAsia="pl-PL"/>
        </w:rPr>
        <w:t xml:space="preserve">Z kolei konsekwencją założenia o nieelastycznych cenach w krótkim okresie, przyjmowanego przez  szkołę keynesowską, jest określenie poziomu produkcji w gospodarce przez zagregowany popyt. Polityka fiskalna może spowodować przesunięcie krzywej zagregowanego popytu, wpływając krótkoterminowo na poziom produkcji. W modelach krótkookresowego wzrostu przedmiotem analizy jest zatem mechanizm dostosowawczy, pozwalający powrócić gospodarce wytrąconej z równowagi na ścieżkę wzrostu. Okres dostosowawczy trwa zwykle kilka lat, a w przywracaniu równowagi ważną rolę może odgrywać aktywnie prowadzona przez państwo polityka fiskalna i pieniężna (antycykliczna polityka stabilizacyjna). Jednakże oddziaływanie poprzez ekspansję fiskalną, prowadzącą do bezpośredniego wzrostu wydatków, powoduje wzrost stóp procentowych, co z kolei może działać hamująco na inwestycje i eksport netto [Hall 1995, </w:t>
      </w:r>
      <w:r w:rsidRPr="00FF799C">
        <w:rPr>
          <w:rFonts w:ascii="Times New Roman" w:eastAsia="Times New Roman" w:hAnsi="Times New Roman" w:cs="Times New Roman"/>
          <w:sz w:val="24"/>
          <w:szCs w:val="24"/>
          <w:lang w:val="pl-PL" w:eastAsia="pl-PL"/>
        </w:rPr>
        <w:lastRenderedPageBreak/>
        <w:t>s.263]. Mechanizmem służącym do oceny wpływu wydatków publicznych na krótkookresową aktywność gospodarczą jest mnożnik wydatków fiskalnych. Mnożnik wydatków odgrywa zasadniczą rolę w teorii efektywnego popytu, opartej na założeniu</w:t>
      </w:r>
      <w:r w:rsidR="00352D7F">
        <w:rPr>
          <w:rFonts w:ascii="Times New Roman" w:eastAsia="Times New Roman" w:hAnsi="Times New Roman" w:cs="Times New Roman"/>
          <w:sz w:val="24"/>
          <w:szCs w:val="24"/>
          <w:lang w:val="pl-PL" w:eastAsia="pl-PL"/>
        </w:rPr>
        <w:t>,</w:t>
      </w:r>
      <w:r w:rsidRPr="00FF799C">
        <w:rPr>
          <w:rFonts w:ascii="Times New Roman" w:eastAsia="Times New Roman" w:hAnsi="Times New Roman" w:cs="Times New Roman"/>
          <w:sz w:val="24"/>
          <w:szCs w:val="24"/>
          <w:lang w:val="pl-PL" w:eastAsia="pl-PL"/>
        </w:rPr>
        <w:t xml:space="preserve"> że w wyniku niedoskonałości rynku gospodarka rynkowa jest  systemem inherentnie niestabilnym, a stała interwencja fiskalna państwa jest potrzebna w celu wyrównywania istniejących dysproporcji [Łaski, Osiatyński i Zięba 2010</w:t>
      </w:r>
      <w:r>
        <w:rPr>
          <w:rFonts w:ascii="Times New Roman" w:eastAsia="Times New Roman" w:hAnsi="Times New Roman" w:cs="Times New Roman"/>
          <w:sz w:val="24"/>
          <w:szCs w:val="24"/>
          <w:lang w:val="pl-PL" w:eastAsia="pl-PL"/>
        </w:rPr>
        <w:t>]</w:t>
      </w:r>
      <w:r w:rsidRPr="00FF799C">
        <w:rPr>
          <w:rFonts w:ascii="Times New Roman" w:eastAsia="Times New Roman" w:hAnsi="Times New Roman" w:cs="Times New Roman"/>
          <w:sz w:val="24"/>
          <w:szCs w:val="24"/>
          <w:lang w:val="pl-PL" w:eastAsia="pl-PL"/>
        </w:rPr>
        <w:t xml:space="preserve">.  Wysokość mnożnika, jego stabilność w czasie, wrażliwość na czynniki zewnętrzne i zróżnicowanie pomiędzy różnymi krajami </w:t>
      </w:r>
      <w:r>
        <w:rPr>
          <w:rFonts w:ascii="Times New Roman" w:eastAsia="Times New Roman" w:hAnsi="Times New Roman" w:cs="Times New Roman"/>
          <w:sz w:val="24"/>
          <w:szCs w:val="24"/>
          <w:lang w:val="pl-PL" w:eastAsia="pl-PL"/>
        </w:rPr>
        <w:t>są</w:t>
      </w:r>
      <w:r w:rsidRPr="00FF799C">
        <w:rPr>
          <w:rFonts w:ascii="Times New Roman" w:eastAsia="Times New Roman" w:hAnsi="Times New Roman" w:cs="Times New Roman"/>
          <w:sz w:val="24"/>
          <w:szCs w:val="24"/>
          <w:lang w:val="pl-PL" w:eastAsia="pl-PL"/>
        </w:rPr>
        <w:t xml:space="preserve"> przedmiotem licznych badań empirycznych. </w:t>
      </w:r>
      <w:proofErr w:type="spellStart"/>
      <w:r w:rsidRPr="00FF799C">
        <w:rPr>
          <w:rFonts w:ascii="Times New Roman" w:eastAsia="Times New Roman" w:hAnsi="Times New Roman" w:cs="Times New Roman"/>
          <w:sz w:val="24"/>
          <w:szCs w:val="24"/>
          <w:lang w:val="pl-PL" w:eastAsia="pl-PL"/>
        </w:rPr>
        <w:t>V.Ramey</w:t>
      </w:r>
      <w:proofErr w:type="spellEnd"/>
      <w:r w:rsidRPr="00FF799C">
        <w:rPr>
          <w:rFonts w:ascii="Times New Roman" w:eastAsia="Times New Roman" w:hAnsi="Times New Roman" w:cs="Times New Roman"/>
          <w:sz w:val="24"/>
          <w:szCs w:val="24"/>
          <w:lang w:val="pl-PL" w:eastAsia="pl-PL"/>
        </w:rPr>
        <w:t xml:space="preserve"> [2011], zestawiając wyniki badań w tym obszarze, wskazała zakres wartości pomiędzy 0,8 a 1,5 jako najbardziej prawdopodobny szacunek  mnożnika. </w:t>
      </w:r>
      <w:proofErr w:type="spellStart"/>
      <w:r w:rsidRPr="00FF799C">
        <w:rPr>
          <w:rFonts w:ascii="Times New Roman" w:eastAsia="Times New Roman" w:hAnsi="Times New Roman" w:cs="Times New Roman"/>
          <w:sz w:val="24"/>
          <w:szCs w:val="24"/>
          <w:lang w:val="pl-PL" w:eastAsia="pl-PL"/>
        </w:rPr>
        <w:t>A.Auerbach</w:t>
      </w:r>
      <w:proofErr w:type="spellEnd"/>
      <w:r w:rsidRPr="00FF799C">
        <w:rPr>
          <w:rFonts w:ascii="Times New Roman" w:eastAsia="Times New Roman" w:hAnsi="Times New Roman" w:cs="Times New Roman"/>
          <w:sz w:val="24"/>
          <w:szCs w:val="24"/>
          <w:lang w:val="pl-PL" w:eastAsia="pl-PL"/>
        </w:rPr>
        <w:t xml:space="preserve"> i </w:t>
      </w:r>
      <w:proofErr w:type="spellStart"/>
      <w:r w:rsidRPr="00FF799C">
        <w:rPr>
          <w:rFonts w:ascii="Times New Roman" w:eastAsia="Times New Roman" w:hAnsi="Times New Roman" w:cs="Times New Roman"/>
          <w:sz w:val="24"/>
          <w:szCs w:val="24"/>
          <w:lang w:val="pl-PL" w:eastAsia="pl-PL"/>
        </w:rPr>
        <w:t>Y.Gorodnichenko</w:t>
      </w:r>
      <w:proofErr w:type="spellEnd"/>
      <w:r w:rsidRPr="00FF799C">
        <w:rPr>
          <w:rFonts w:ascii="Times New Roman" w:eastAsia="Times New Roman" w:hAnsi="Times New Roman" w:cs="Times New Roman"/>
          <w:sz w:val="24"/>
          <w:szCs w:val="24"/>
          <w:lang w:val="pl-PL" w:eastAsia="pl-PL"/>
        </w:rPr>
        <w:t xml:space="preserve"> [2012] wykazali, że skuteczność polityki fiskalnej jest silnie uzależniona od cyklu koniunkturalnego,</w:t>
      </w:r>
      <w:r w:rsidR="001D5CF1">
        <w:rPr>
          <w:rFonts w:ascii="Times New Roman" w:eastAsia="Times New Roman" w:hAnsi="Times New Roman" w:cs="Times New Roman"/>
          <w:sz w:val="24"/>
          <w:szCs w:val="24"/>
          <w:lang w:val="pl-PL" w:eastAsia="pl-PL"/>
        </w:rPr>
        <w:t xml:space="preserve"> a mnożnik wydatków publicznych</w:t>
      </w:r>
      <w:r w:rsidRPr="00FF799C">
        <w:rPr>
          <w:rFonts w:ascii="Times New Roman" w:eastAsia="Times New Roman" w:hAnsi="Times New Roman" w:cs="Times New Roman"/>
          <w:sz w:val="24"/>
          <w:szCs w:val="24"/>
          <w:lang w:val="pl-PL" w:eastAsia="pl-PL"/>
        </w:rPr>
        <w:t xml:space="preserve"> przyjmuje znacznie wyższe wartości w okresie recesji. Innymi czynnikami ekonomicznymi wpływającymi na wysokość mnożnika wydatków są m.in. zakres stosowania automatycznych stabilizatorów, otwartość gospodarki, polityka kursu walutowego, poziom zadłużenia,  sprawność rynków finansowych, prowadzona polityka monetarna, a także wielkość i poziom rozwoju kraju [</w:t>
      </w:r>
      <w:proofErr w:type="spellStart"/>
      <w:r w:rsidRPr="00FF799C">
        <w:rPr>
          <w:rFonts w:ascii="Times New Roman" w:eastAsia="Times New Roman" w:hAnsi="Times New Roman" w:cs="Times New Roman"/>
          <w:sz w:val="24"/>
          <w:szCs w:val="24"/>
          <w:lang w:val="pl-PL" w:eastAsia="pl-PL"/>
        </w:rPr>
        <w:t>Mineshima</w:t>
      </w:r>
      <w:proofErr w:type="spellEnd"/>
      <w:r w:rsidRPr="00FF799C">
        <w:rPr>
          <w:rFonts w:ascii="Times New Roman" w:eastAsia="Times New Roman" w:hAnsi="Times New Roman" w:cs="Times New Roman"/>
          <w:sz w:val="24"/>
          <w:szCs w:val="24"/>
          <w:lang w:val="pl-PL" w:eastAsia="pl-PL"/>
        </w:rPr>
        <w:t xml:space="preserve">, </w:t>
      </w:r>
      <w:proofErr w:type="spellStart"/>
      <w:r w:rsidRPr="00FF799C">
        <w:rPr>
          <w:rFonts w:ascii="Times New Roman" w:eastAsia="Times New Roman" w:hAnsi="Times New Roman" w:cs="Times New Roman"/>
          <w:sz w:val="24"/>
          <w:szCs w:val="24"/>
          <w:lang w:val="pl-PL" w:eastAsia="pl-PL"/>
        </w:rPr>
        <w:t>Poplawski</w:t>
      </w:r>
      <w:proofErr w:type="spellEnd"/>
      <w:r w:rsidRPr="00FF799C">
        <w:rPr>
          <w:rFonts w:ascii="Times New Roman" w:eastAsia="Times New Roman" w:hAnsi="Times New Roman" w:cs="Times New Roman"/>
          <w:sz w:val="24"/>
          <w:szCs w:val="24"/>
          <w:lang w:val="pl-PL" w:eastAsia="pl-PL"/>
        </w:rPr>
        <w:t xml:space="preserve">-Ribeiro i Weber 2014]. Nie bez znaczenia pozostają także przyjęte w badaniach założenia teoretyczne i stosowane metody ekonometryczne. W literaturze wskazuje się także na pewne nieścisłości klasycznej definicji mnożnika. </w:t>
      </w:r>
      <w:proofErr w:type="spellStart"/>
      <w:r w:rsidRPr="00FF799C">
        <w:rPr>
          <w:rFonts w:ascii="Times New Roman" w:eastAsia="Times New Roman" w:hAnsi="Times New Roman" w:cs="Times New Roman"/>
          <w:sz w:val="24"/>
          <w:szCs w:val="24"/>
          <w:lang w:val="pl-PL" w:eastAsia="pl-PL"/>
        </w:rPr>
        <w:t>K.Łaski</w:t>
      </w:r>
      <w:proofErr w:type="spellEnd"/>
      <w:r w:rsidRPr="00FF799C">
        <w:rPr>
          <w:rFonts w:ascii="Times New Roman" w:eastAsia="Times New Roman" w:hAnsi="Times New Roman" w:cs="Times New Roman"/>
          <w:sz w:val="24"/>
          <w:szCs w:val="24"/>
          <w:lang w:val="pl-PL" w:eastAsia="pl-PL"/>
        </w:rPr>
        <w:t xml:space="preserve">, </w:t>
      </w:r>
      <w:proofErr w:type="spellStart"/>
      <w:r w:rsidRPr="00FF799C">
        <w:rPr>
          <w:rFonts w:ascii="Times New Roman" w:eastAsia="Times New Roman" w:hAnsi="Times New Roman" w:cs="Times New Roman"/>
          <w:sz w:val="24"/>
          <w:szCs w:val="24"/>
          <w:lang w:val="pl-PL" w:eastAsia="pl-PL"/>
        </w:rPr>
        <w:t>J.Osiatyński</w:t>
      </w:r>
      <w:proofErr w:type="spellEnd"/>
      <w:r w:rsidRPr="00FF799C">
        <w:rPr>
          <w:rFonts w:ascii="Times New Roman" w:eastAsia="Times New Roman" w:hAnsi="Times New Roman" w:cs="Times New Roman"/>
          <w:sz w:val="24"/>
          <w:szCs w:val="24"/>
          <w:lang w:val="pl-PL" w:eastAsia="pl-PL"/>
        </w:rPr>
        <w:t xml:space="preserve"> i </w:t>
      </w:r>
      <w:proofErr w:type="spellStart"/>
      <w:r w:rsidRPr="00FF799C">
        <w:rPr>
          <w:rFonts w:ascii="Times New Roman" w:eastAsia="Times New Roman" w:hAnsi="Times New Roman" w:cs="Times New Roman"/>
          <w:sz w:val="24"/>
          <w:szCs w:val="24"/>
          <w:lang w:val="pl-PL" w:eastAsia="pl-PL"/>
        </w:rPr>
        <w:t>J.Zięba</w:t>
      </w:r>
      <w:proofErr w:type="spellEnd"/>
      <w:r w:rsidRPr="00FF799C">
        <w:rPr>
          <w:rFonts w:ascii="Times New Roman" w:eastAsia="Times New Roman" w:hAnsi="Times New Roman" w:cs="Times New Roman"/>
          <w:sz w:val="24"/>
          <w:szCs w:val="24"/>
          <w:lang w:val="pl-PL" w:eastAsia="pl-PL"/>
        </w:rPr>
        <w:t xml:space="preserve"> [2010], analizując mechanizm transmisji impulsów fiskalnych w polskiej gospodarce, zaproponowali  korektę mnożnika wydatków, po zastosowaniu której jego szacunki uległy zwiększeniu (wyniosły pomiędzy 1,59 a 1,86, w zależności od sposobu analizy danych). </w:t>
      </w:r>
    </w:p>
    <w:p w:rsidR="00FF799C" w:rsidRPr="00FF799C" w:rsidRDefault="00FF799C" w:rsidP="00FF799C">
      <w:pPr>
        <w:spacing w:after="0" w:line="360" w:lineRule="auto"/>
        <w:ind w:firstLine="708"/>
        <w:jc w:val="both"/>
        <w:outlineLvl w:val="2"/>
        <w:rPr>
          <w:rFonts w:ascii="Times New Roman" w:hAnsi="Times New Roman" w:cs="Times New Roman"/>
          <w:sz w:val="24"/>
          <w:szCs w:val="24"/>
          <w:lang w:val="pl-PL"/>
        </w:rPr>
      </w:pPr>
      <w:r w:rsidRPr="00FF799C">
        <w:rPr>
          <w:rFonts w:ascii="Times New Roman" w:eastAsia="Times New Roman" w:hAnsi="Times New Roman" w:cs="Times New Roman"/>
          <w:sz w:val="24"/>
          <w:szCs w:val="24"/>
          <w:lang w:val="pl-PL" w:eastAsia="pl-PL"/>
        </w:rPr>
        <w:t xml:space="preserve">Aby </w:t>
      </w:r>
      <w:r>
        <w:rPr>
          <w:rFonts w:ascii="Times New Roman" w:eastAsia="Times New Roman" w:hAnsi="Times New Roman" w:cs="Times New Roman"/>
          <w:sz w:val="24"/>
          <w:szCs w:val="24"/>
          <w:lang w:val="pl-PL" w:eastAsia="pl-PL"/>
        </w:rPr>
        <w:t xml:space="preserve">skutecznie </w:t>
      </w:r>
      <w:r w:rsidRPr="00FF799C">
        <w:rPr>
          <w:rFonts w:ascii="Times New Roman" w:eastAsia="Times New Roman" w:hAnsi="Times New Roman" w:cs="Times New Roman"/>
          <w:sz w:val="24"/>
          <w:szCs w:val="24"/>
          <w:lang w:val="pl-PL" w:eastAsia="pl-PL"/>
        </w:rPr>
        <w:t>oddziaływ</w:t>
      </w:r>
      <w:r>
        <w:rPr>
          <w:rFonts w:ascii="Times New Roman" w:eastAsia="Times New Roman" w:hAnsi="Times New Roman" w:cs="Times New Roman"/>
          <w:sz w:val="24"/>
          <w:szCs w:val="24"/>
          <w:lang w:val="pl-PL" w:eastAsia="pl-PL"/>
        </w:rPr>
        <w:t>ać</w:t>
      </w:r>
      <w:r w:rsidRPr="00FF799C">
        <w:rPr>
          <w:rFonts w:ascii="Times New Roman" w:eastAsia="Times New Roman" w:hAnsi="Times New Roman" w:cs="Times New Roman"/>
          <w:sz w:val="24"/>
          <w:szCs w:val="24"/>
          <w:lang w:val="pl-PL" w:eastAsia="pl-PL"/>
        </w:rPr>
        <w:t xml:space="preserve"> na gospo</w:t>
      </w:r>
      <w:r>
        <w:rPr>
          <w:rFonts w:ascii="Times New Roman" w:eastAsia="Times New Roman" w:hAnsi="Times New Roman" w:cs="Times New Roman"/>
          <w:sz w:val="24"/>
          <w:szCs w:val="24"/>
          <w:lang w:val="pl-PL" w:eastAsia="pl-PL"/>
        </w:rPr>
        <w:t xml:space="preserve">darkę poprzez wydatki publiczne, </w:t>
      </w:r>
      <w:r w:rsidRPr="00FF799C">
        <w:rPr>
          <w:rFonts w:ascii="Times New Roman" w:eastAsia="Times New Roman" w:hAnsi="Times New Roman" w:cs="Times New Roman"/>
          <w:sz w:val="24"/>
          <w:szCs w:val="24"/>
          <w:lang w:val="pl-PL" w:eastAsia="pl-PL"/>
        </w:rPr>
        <w:t xml:space="preserve">należy </w:t>
      </w:r>
      <w:r>
        <w:rPr>
          <w:rFonts w:ascii="Times New Roman" w:eastAsia="Times New Roman" w:hAnsi="Times New Roman" w:cs="Times New Roman"/>
          <w:sz w:val="24"/>
          <w:szCs w:val="24"/>
          <w:lang w:val="pl-PL" w:eastAsia="pl-PL"/>
        </w:rPr>
        <w:t xml:space="preserve">oprócz jego poziomu </w:t>
      </w:r>
      <w:r w:rsidRPr="00FF799C">
        <w:rPr>
          <w:rFonts w:ascii="Times New Roman" w:eastAsia="Times New Roman" w:hAnsi="Times New Roman" w:cs="Times New Roman"/>
          <w:sz w:val="24"/>
          <w:szCs w:val="24"/>
          <w:lang w:val="pl-PL" w:eastAsia="pl-PL"/>
        </w:rPr>
        <w:t xml:space="preserve">równocześnie uwzględnić </w:t>
      </w:r>
      <w:r>
        <w:rPr>
          <w:rFonts w:ascii="Times New Roman" w:eastAsia="Times New Roman" w:hAnsi="Times New Roman" w:cs="Times New Roman"/>
          <w:sz w:val="24"/>
          <w:szCs w:val="24"/>
          <w:lang w:val="pl-PL" w:eastAsia="pl-PL"/>
        </w:rPr>
        <w:t>także inne</w:t>
      </w:r>
      <w:r w:rsidRPr="00FF799C">
        <w:rPr>
          <w:rFonts w:ascii="Times New Roman" w:eastAsia="Times New Roman" w:hAnsi="Times New Roman" w:cs="Times New Roman"/>
          <w:sz w:val="24"/>
          <w:szCs w:val="24"/>
          <w:lang w:val="pl-PL" w:eastAsia="pl-PL"/>
        </w:rPr>
        <w:t xml:space="preserve"> aspekty, przede wszystkim: ich strukturę, wydajność i efektywność, a także strukturę podatków i ograniczenia budżetowe, gdyż jak pokazują badania empiryczne, czynniki te są ze sobą wzajemnie powiązane i pominięcie któregoś z nich może osłabić lub zniekształcić efekt finalny (m.in. [</w:t>
      </w:r>
      <w:proofErr w:type="spellStart"/>
      <w:r w:rsidRPr="00FF799C">
        <w:rPr>
          <w:rFonts w:ascii="Times New Roman" w:eastAsia="Times New Roman" w:hAnsi="Times New Roman" w:cs="Times New Roman"/>
          <w:sz w:val="24"/>
          <w:szCs w:val="24"/>
          <w:lang w:val="pl-PL" w:eastAsia="pl-PL"/>
        </w:rPr>
        <w:t>Gemmell</w:t>
      </w:r>
      <w:proofErr w:type="spellEnd"/>
      <w:r w:rsidRPr="00FF799C">
        <w:rPr>
          <w:rFonts w:ascii="Times New Roman" w:eastAsia="Times New Roman" w:hAnsi="Times New Roman" w:cs="Times New Roman"/>
          <w:sz w:val="24"/>
          <w:szCs w:val="24"/>
          <w:lang w:val="pl-PL" w:eastAsia="pl-PL"/>
        </w:rPr>
        <w:t xml:space="preserve">, </w:t>
      </w:r>
      <w:proofErr w:type="spellStart"/>
      <w:r w:rsidRPr="00FF799C">
        <w:rPr>
          <w:rFonts w:ascii="Times New Roman" w:eastAsia="Times New Roman" w:hAnsi="Times New Roman" w:cs="Times New Roman"/>
          <w:sz w:val="24"/>
          <w:szCs w:val="24"/>
          <w:lang w:val="pl-PL" w:eastAsia="pl-PL"/>
        </w:rPr>
        <w:t>Kneller</w:t>
      </w:r>
      <w:proofErr w:type="spellEnd"/>
      <w:r w:rsidRPr="00FF799C">
        <w:rPr>
          <w:rFonts w:ascii="Times New Roman" w:eastAsia="Times New Roman" w:hAnsi="Times New Roman" w:cs="Times New Roman"/>
          <w:sz w:val="24"/>
          <w:szCs w:val="24"/>
          <w:lang w:val="pl-PL" w:eastAsia="pl-PL"/>
        </w:rPr>
        <w:t xml:space="preserve"> i </w:t>
      </w:r>
      <w:proofErr w:type="spellStart"/>
      <w:r w:rsidRPr="00FF799C">
        <w:rPr>
          <w:rFonts w:ascii="Times New Roman" w:eastAsia="Times New Roman" w:hAnsi="Times New Roman" w:cs="Times New Roman"/>
          <w:sz w:val="24"/>
          <w:szCs w:val="24"/>
          <w:lang w:val="pl-PL" w:eastAsia="pl-PL"/>
        </w:rPr>
        <w:t>Sanz</w:t>
      </w:r>
      <w:proofErr w:type="spellEnd"/>
      <w:r w:rsidRPr="00FF799C">
        <w:rPr>
          <w:rFonts w:ascii="Times New Roman" w:eastAsia="Times New Roman" w:hAnsi="Times New Roman" w:cs="Times New Roman"/>
          <w:sz w:val="24"/>
          <w:szCs w:val="24"/>
          <w:lang w:val="pl-PL" w:eastAsia="pl-PL"/>
        </w:rPr>
        <w:t xml:space="preserve"> 2016], [</w:t>
      </w:r>
      <w:proofErr w:type="spellStart"/>
      <w:r w:rsidRPr="00FF799C">
        <w:rPr>
          <w:rFonts w:ascii="Times New Roman" w:eastAsia="Times New Roman" w:hAnsi="Times New Roman" w:cs="Times New Roman"/>
          <w:sz w:val="24"/>
          <w:szCs w:val="24"/>
          <w:lang w:val="pl-PL" w:eastAsia="pl-PL"/>
        </w:rPr>
        <w:t>Angelopoulos</w:t>
      </w:r>
      <w:proofErr w:type="spellEnd"/>
      <w:r w:rsidRPr="00FF799C">
        <w:rPr>
          <w:rFonts w:ascii="Times New Roman" w:eastAsia="Times New Roman" w:hAnsi="Times New Roman" w:cs="Times New Roman"/>
          <w:sz w:val="24"/>
          <w:szCs w:val="24"/>
          <w:lang w:val="pl-PL" w:eastAsia="pl-PL"/>
        </w:rPr>
        <w:t xml:space="preserve">,  </w:t>
      </w:r>
      <w:proofErr w:type="spellStart"/>
      <w:r w:rsidRPr="00FF799C">
        <w:rPr>
          <w:rFonts w:ascii="Times New Roman" w:eastAsia="Times New Roman" w:hAnsi="Times New Roman" w:cs="Times New Roman"/>
          <w:sz w:val="24"/>
          <w:szCs w:val="24"/>
          <w:lang w:val="pl-PL" w:eastAsia="pl-PL"/>
        </w:rPr>
        <w:t>Philippopoulos</w:t>
      </w:r>
      <w:proofErr w:type="spellEnd"/>
      <w:r w:rsidRPr="00FF799C">
        <w:rPr>
          <w:rFonts w:ascii="Times New Roman" w:eastAsia="Times New Roman" w:hAnsi="Times New Roman" w:cs="Times New Roman"/>
          <w:sz w:val="24"/>
          <w:szCs w:val="24"/>
          <w:lang w:val="pl-PL" w:eastAsia="pl-PL"/>
        </w:rPr>
        <w:t xml:space="preserve"> i </w:t>
      </w:r>
      <w:proofErr w:type="spellStart"/>
      <w:r w:rsidRPr="00FF799C">
        <w:rPr>
          <w:rFonts w:ascii="Times New Roman" w:eastAsia="Times New Roman" w:hAnsi="Times New Roman" w:cs="Times New Roman"/>
          <w:sz w:val="24"/>
          <w:szCs w:val="24"/>
          <w:lang w:val="pl-PL" w:eastAsia="pl-PL"/>
        </w:rPr>
        <w:t>Tsionas</w:t>
      </w:r>
      <w:proofErr w:type="spellEnd"/>
      <w:r w:rsidRPr="00FF799C">
        <w:rPr>
          <w:rFonts w:ascii="Times New Roman" w:eastAsia="Times New Roman" w:hAnsi="Times New Roman" w:cs="Times New Roman"/>
          <w:sz w:val="24"/>
          <w:szCs w:val="24"/>
          <w:lang w:val="pl-PL" w:eastAsia="pl-PL"/>
        </w:rPr>
        <w:t xml:space="preserve"> 2008], </w:t>
      </w:r>
      <w:r w:rsidR="0083306F">
        <w:rPr>
          <w:rFonts w:ascii="Times New Roman" w:eastAsia="Times New Roman" w:hAnsi="Times New Roman" w:cs="Times New Roman"/>
          <w:sz w:val="24"/>
          <w:szCs w:val="24"/>
          <w:lang w:val="pl-PL" w:eastAsia="pl-PL"/>
        </w:rPr>
        <w:t>[</w:t>
      </w:r>
      <w:proofErr w:type="spellStart"/>
      <w:r w:rsidR="001D5CF1">
        <w:rPr>
          <w:rFonts w:ascii="Times New Roman" w:hAnsi="Times New Roman" w:cs="Times New Roman"/>
          <w:sz w:val="24"/>
          <w:szCs w:val="24"/>
          <w:lang w:val="pl-PL"/>
        </w:rPr>
        <w:t>Dhont</w:t>
      </w:r>
      <w:proofErr w:type="spellEnd"/>
      <w:r w:rsidR="001D5CF1">
        <w:rPr>
          <w:rFonts w:ascii="Times New Roman" w:hAnsi="Times New Roman" w:cs="Times New Roman"/>
          <w:sz w:val="24"/>
          <w:szCs w:val="24"/>
          <w:lang w:val="pl-PL"/>
        </w:rPr>
        <w:t xml:space="preserve"> i </w:t>
      </w:r>
      <w:proofErr w:type="spellStart"/>
      <w:r w:rsidR="001D5CF1">
        <w:rPr>
          <w:rFonts w:ascii="Times New Roman" w:hAnsi="Times New Roman" w:cs="Times New Roman"/>
          <w:sz w:val="24"/>
          <w:szCs w:val="24"/>
          <w:lang w:val="pl-PL"/>
        </w:rPr>
        <w:t>Haylen</w:t>
      </w:r>
      <w:proofErr w:type="spellEnd"/>
      <w:r w:rsidR="001D5CF1">
        <w:rPr>
          <w:rFonts w:ascii="Times New Roman" w:hAnsi="Times New Roman" w:cs="Times New Roman"/>
          <w:sz w:val="24"/>
          <w:szCs w:val="24"/>
          <w:lang w:val="pl-PL"/>
        </w:rPr>
        <w:t xml:space="preserve"> </w:t>
      </w:r>
      <w:r w:rsidRPr="00FF799C">
        <w:rPr>
          <w:rFonts w:ascii="Times New Roman" w:hAnsi="Times New Roman" w:cs="Times New Roman"/>
          <w:sz w:val="24"/>
          <w:szCs w:val="24"/>
          <w:lang w:val="pl-PL"/>
        </w:rPr>
        <w:t xml:space="preserve">2009]). Empiryczne modele opisujące wpływ wydatków publicznych na gospodarkę, pomimo wykorzystania zaawansowanych metod ekonometrycznych, są  uproszczeniem </w:t>
      </w:r>
      <w:r w:rsidRPr="00FF799C">
        <w:rPr>
          <w:rFonts w:ascii="Times New Roman" w:hAnsi="Times New Roman" w:cs="Times New Roman"/>
          <w:sz w:val="24"/>
          <w:szCs w:val="24"/>
          <w:lang w:val="pl-PL"/>
        </w:rPr>
        <w:lastRenderedPageBreak/>
        <w:t>rzeczywistości, opartym na licznych założeniach i podlegającym wielu ograniczeniom. Pomimo brak</w:t>
      </w:r>
      <w:r w:rsidR="001D2B0C">
        <w:rPr>
          <w:rFonts w:ascii="Times New Roman" w:hAnsi="Times New Roman" w:cs="Times New Roman"/>
          <w:sz w:val="24"/>
          <w:szCs w:val="24"/>
          <w:lang w:val="pl-PL"/>
        </w:rPr>
        <w:t>u</w:t>
      </w:r>
      <w:r w:rsidRPr="00FF799C">
        <w:rPr>
          <w:rFonts w:ascii="Times New Roman" w:hAnsi="Times New Roman" w:cs="Times New Roman"/>
          <w:sz w:val="24"/>
          <w:szCs w:val="24"/>
          <w:lang w:val="pl-PL"/>
        </w:rPr>
        <w:t xml:space="preserve"> możliwości pełnego uchwycenia czynników determinujących efektywność polityki fiskalnej i niejednorodności wniosków z nich wynikających</w:t>
      </w:r>
      <w:r w:rsidR="001D5CF1">
        <w:rPr>
          <w:rFonts w:ascii="Times New Roman" w:hAnsi="Times New Roman" w:cs="Times New Roman"/>
          <w:sz w:val="24"/>
          <w:szCs w:val="24"/>
          <w:lang w:val="pl-PL"/>
        </w:rPr>
        <w:t>,</w:t>
      </w:r>
      <w:r w:rsidRPr="00FF799C">
        <w:rPr>
          <w:rFonts w:ascii="Times New Roman" w:hAnsi="Times New Roman" w:cs="Times New Roman"/>
          <w:sz w:val="24"/>
          <w:szCs w:val="24"/>
          <w:lang w:val="pl-PL"/>
        </w:rPr>
        <w:t xml:space="preserve"> dostarczają jednak wielu cennych obserwacji i pozwalają lepiej zrozumieć mechanizmy leżące u ich podstaw. </w:t>
      </w:r>
    </w:p>
    <w:p w:rsidR="00FF799C" w:rsidRPr="00FF799C" w:rsidRDefault="00FF799C" w:rsidP="0083306F">
      <w:pPr>
        <w:spacing w:after="0" w:line="360" w:lineRule="auto"/>
        <w:ind w:firstLine="708"/>
        <w:jc w:val="both"/>
        <w:outlineLvl w:val="2"/>
        <w:rPr>
          <w:rFonts w:ascii="Times New Roman" w:eastAsia="Times New Roman" w:hAnsi="Times New Roman" w:cs="Times New Roman"/>
          <w:sz w:val="24"/>
          <w:szCs w:val="24"/>
          <w:lang w:val="pl-PL" w:eastAsia="pl-PL"/>
        </w:rPr>
      </w:pPr>
      <w:r w:rsidRPr="0083306F">
        <w:rPr>
          <w:rFonts w:ascii="Times New Roman" w:hAnsi="Times New Roman" w:cs="Times New Roman"/>
          <w:sz w:val="24"/>
          <w:szCs w:val="24"/>
          <w:lang w:val="pl-PL"/>
        </w:rPr>
        <w:t>Wpływ  wielkości</w:t>
      </w:r>
      <w:r w:rsidRPr="00FF799C">
        <w:rPr>
          <w:rFonts w:ascii="Times New Roman" w:hAnsi="Times New Roman" w:cs="Times New Roman"/>
          <w:b/>
          <w:sz w:val="24"/>
          <w:szCs w:val="24"/>
          <w:lang w:val="pl-PL"/>
        </w:rPr>
        <w:t xml:space="preserve"> </w:t>
      </w:r>
      <w:r w:rsidRPr="00FF799C">
        <w:rPr>
          <w:rFonts w:ascii="Times New Roman" w:hAnsi="Times New Roman" w:cs="Times New Roman"/>
          <w:sz w:val="24"/>
          <w:szCs w:val="24"/>
          <w:lang w:val="pl-PL"/>
        </w:rPr>
        <w:t>sektora finansów publicznych, mierzonego wartoś</w:t>
      </w:r>
      <w:r w:rsidR="00A91FF4">
        <w:rPr>
          <w:rFonts w:ascii="Times New Roman" w:hAnsi="Times New Roman" w:cs="Times New Roman"/>
          <w:sz w:val="24"/>
          <w:szCs w:val="24"/>
          <w:lang w:val="pl-PL"/>
        </w:rPr>
        <w:t>cią</w:t>
      </w:r>
      <w:r w:rsidRPr="00FF799C">
        <w:rPr>
          <w:rFonts w:ascii="Times New Roman" w:hAnsi="Times New Roman" w:cs="Times New Roman"/>
          <w:sz w:val="24"/>
          <w:szCs w:val="24"/>
          <w:lang w:val="pl-PL"/>
        </w:rPr>
        <w:t xml:space="preserve"> wydatków publicznych w relacji do PKB, na wzrost gospodarczy, rynek pracy czy inwestycje prywatne ma charakter nieliniowy i niekorzystne dla gospodarki może być zarówno obniżanie wydatków, jak i ich zwiększanie, w zależności od ich aktualnego poziomu. Generalnie badania empiryczne dla krajów UE wskazują negatywną korelację pomiędzy rozmiarami wydatków publicznych  a potencjalnym wzrostem, co wskazuje na przekroczenie punktu krytycznego i ukształtowania się  zbyt wysokiego ich poziomu [</w:t>
      </w:r>
      <w:proofErr w:type="spellStart"/>
      <w:r w:rsidRPr="00FF799C">
        <w:rPr>
          <w:rFonts w:ascii="Times New Roman" w:hAnsi="Times New Roman" w:cs="Times New Roman"/>
          <w:sz w:val="24"/>
          <w:szCs w:val="24"/>
          <w:lang w:val="pl-PL"/>
        </w:rPr>
        <w:t>Afonso</w:t>
      </w:r>
      <w:proofErr w:type="spellEnd"/>
      <w:r w:rsidRPr="00FF799C">
        <w:rPr>
          <w:rFonts w:ascii="Times New Roman" w:hAnsi="Times New Roman" w:cs="Times New Roman"/>
          <w:sz w:val="24"/>
          <w:szCs w:val="24"/>
          <w:lang w:val="pl-PL"/>
        </w:rPr>
        <w:t xml:space="preserve"> i </w:t>
      </w:r>
      <w:proofErr w:type="spellStart"/>
      <w:r w:rsidRPr="00FF799C">
        <w:rPr>
          <w:rFonts w:ascii="Times New Roman" w:hAnsi="Times New Roman" w:cs="Times New Roman"/>
          <w:sz w:val="24"/>
          <w:szCs w:val="24"/>
          <w:lang w:val="pl-PL"/>
        </w:rPr>
        <w:t>Fuceri</w:t>
      </w:r>
      <w:proofErr w:type="spellEnd"/>
      <w:r w:rsidRPr="00FF799C">
        <w:rPr>
          <w:rFonts w:ascii="Times New Roman" w:hAnsi="Times New Roman" w:cs="Times New Roman"/>
          <w:sz w:val="24"/>
          <w:szCs w:val="24"/>
          <w:lang w:val="pl-PL"/>
        </w:rPr>
        <w:t xml:space="preserve"> 2008]. </w:t>
      </w:r>
      <w:r w:rsidR="0083306F" w:rsidRPr="00FF799C">
        <w:rPr>
          <w:rFonts w:ascii="Times New Roman" w:hAnsi="Times New Roman" w:cs="Times New Roman"/>
          <w:sz w:val="24"/>
          <w:szCs w:val="24"/>
          <w:lang w:val="pl-PL"/>
        </w:rPr>
        <w:t>Z drugiej strony</w:t>
      </w:r>
      <w:r w:rsidR="00A91FF4">
        <w:rPr>
          <w:rFonts w:ascii="Times New Roman" w:hAnsi="Times New Roman" w:cs="Times New Roman"/>
          <w:sz w:val="24"/>
          <w:szCs w:val="24"/>
          <w:lang w:val="pl-PL"/>
        </w:rPr>
        <w:t>,</w:t>
      </w:r>
      <w:r w:rsidR="0083306F" w:rsidRPr="00FF799C">
        <w:rPr>
          <w:rFonts w:ascii="Times New Roman" w:hAnsi="Times New Roman" w:cs="Times New Roman"/>
          <w:sz w:val="24"/>
          <w:szCs w:val="24"/>
          <w:lang w:val="pl-PL"/>
        </w:rPr>
        <w:t xml:space="preserve"> niedostateczne wydatki publiczne mogą być niewystarczające dla zapewnienie niezbędnej struktury instytucjonalnej, infrastruktury, porządku i bezpieczeństwa, skutecznie utrudniając rozwój gospodarczy.</w:t>
      </w:r>
      <w:r w:rsidR="0083306F">
        <w:rPr>
          <w:rFonts w:ascii="Times New Roman" w:hAnsi="Times New Roman" w:cs="Times New Roman"/>
          <w:sz w:val="24"/>
          <w:szCs w:val="24"/>
          <w:lang w:val="pl-PL"/>
        </w:rPr>
        <w:t xml:space="preserve"> </w:t>
      </w:r>
      <w:r w:rsidRPr="00FF799C">
        <w:rPr>
          <w:rFonts w:ascii="Times New Roman" w:hAnsi="Times New Roman" w:cs="Times New Roman"/>
          <w:sz w:val="24"/>
          <w:szCs w:val="24"/>
          <w:lang w:val="pl-PL"/>
        </w:rPr>
        <w:t xml:space="preserve">Istotne znaczenie odgrywa tutaj sposób finansowania wzrostu wydatków, gdyż niekorzystny wpływ może być związany z efektem wypychania prywatnych konsumpcji i inwestycji, ze względu na zwiększenia obciążeń podatkowych w celu ich sfinansowania, bądź wzrostem nierównowagi fiskalnej. Siła tego oddziaływania jest jednak uzależniona od struktury systemu podatkowego, czy też źródeł przyszłego finansowania kosztów  powstałego długu.  M. </w:t>
      </w:r>
      <w:proofErr w:type="spellStart"/>
      <w:r w:rsidRPr="00FF799C">
        <w:rPr>
          <w:rFonts w:ascii="Times New Roman" w:hAnsi="Times New Roman" w:cs="Times New Roman"/>
          <w:sz w:val="24"/>
          <w:szCs w:val="24"/>
          <w:lang w:val="pl-PL"/>
        </w:rPr>
        <w:t>Groneck</w:t>
      </w:r>
      <w:proofErr w:type="spellEnd"/>
      <w:r w:rsidRPr="00FF799C">
        <w:rPr>
          <w:rFonts w:ascii="Times New Roman" w:hAnsi="Times New Roman" w:cs="Times New Roman"/>
          <w:sz w:val="24"/>
          <w:szCs w:val="24"/>
          <w:lang w:val="pl-PL"/>
        </w:rPr>
        <w:t xml:space="preserve"> [2011], w kontekście złotej reguły finansów publicznych, zwraca jednak uwagę na konieczność szerszego spojrzenia na sposób oddziaływania wydatków publicznych, gdyż przy określonej ich kompozycji, nieskuteczności oddziaływania państwa na wzrost gospodarczy może towarzyszyć pozytywny wpływ na szeroko pojęty dobrobyt. </w:t>
      </w:r>
    </w:p>
    <w:p w:rsidR="00806964" w:rsidRDefault="00FF799C" w:rsidP="001D5CF1">
      <w:pPr>
        <w:spacing w:after="0" w:line="360" w:lineRule="auto"/>
        <w:ind w:firstLine="708"/>
        <w:jc w:val="both"/>
        <w:outlineLvl w:val="2"/>
        <w:rPr>
          <w:rFonts w:ascii="Times New Roman" w:hAnsi="Times New Roman" w:cs="Times New Roman"/>
          <w:sz w:val="24"/>
          <w:szCs w:val="24"/>
          <w:lang w:val="pl-PL"/>
        </w:rPr>
      </w:pPr>
      <w:r w:rsidRPr="00FF799C">
        <w:rPr>
          <w:rFonts w:ascii="Times New Roman" w:hAnsi="Times New Roman" w:cs="Times New Roman"/>
          <w:sz w:val="24"/>
          <w:szCs w:val="24"/>
          <w:lang w:val="pl-PL"/>
        </w:rPr>
        <w:t xml:space="preserve">Wyznaczenie optymalnej wysokości wydatków publicznych nie jest możliwe bez uwzględnienia ich </w:t>
      </w:r>
      <w:r w:rsidRPr="0083306F">
        <w:rPr>
          <w:rFonts w:ascii="Times New Roman" w:hAnsi="Times New Roman" w:cs="Times New Roman"/>
          <w:sz w:val="24"/>
          <w:szCs w:val="24"/>
          <w:lang w:val="pl-PL"/>
        </w:rPr>
        <w:t>struktury</w:t>
      </w:r>
      <w:r w:rsidRPr="00FF799C">
        <w:rPr>
          <w:rFonts w:ascii="Times New Roman" w:hAnsi="Times New Roman" w:cs="Times New Roman"/>
          <w:sz w:val="24"/>
          <w:szCs w:val="24"/>
          <w:lang w:val="pl-PL"/>
        </w:rPr>
        <w:t xml:space="preserve">. Już wczesne modele wzrostu wprowadzały podział na wydatki konsumpcyjne i wydatki inwestycyjne,  wykazując że zwiększanie </w:t>
      </w:r>
      <w:r w:rsidR="001D5CF1">
        <w:rPr>
          <w:rFonts w:ascii="Times New Roman" w:hAnsi="Times New Roman" w:cs="Times New Roman"/>
          <w:sz w:val="24"/>
          <w:szCs w:val="24"/>
          <w:lang w:val="pl-PL"/>
        </w:rPr>
        <w:t>tych drugich</w:t>
      </w:r>
      <w:r w:rsidRPr="00FF799C">
        <w:rPr>
          <w:rFonts w:ascii="Times New Roman" w:hAnsi="Times New Roman" w:cs="Times New Roman"/>
          <w:sz w:val="24"/>
          <w:szCs w:val="24"/>
          <w:lang w:val="pl-PL"/>
        </w:rPr>
        <w:t xml:space="preserve"> daje istotne efekty </w:t>
      </w:r>
      <w:proofErr w:type="spellStart"/>
      <w:r w:rsidRPr="00FF799C">
        <w:rPr>
          <w:rFonts w:ascii="Times New Roman" w:hAnsi="Times New Roman" w:cs="Times New Roman"/>
          <w:sz w:val="24"/>
          <w:szCs w:val="24"/>
          <w:lang w:val="pl-PL"/>
        </w:rPr>
        <w:t>prowzrostowe</w:t>
      </w:r>
      <w:proofErr w:type="spellEnd"/>
      <w:r w:rsidRPr="00FF799C">
        <w:rPr>
          <w:rFonts w:ascii="Times New Roman" w:hAnsi="Times New Roman" w:cs="Times New Roman"/>
          <w:sz w:val="24"/>
          <w:szCs w:val="24"/>
          <w:lang w:val="pl-PL"/>
        </w:rPr>
        <w:t xml:space="preserve">, czego nie można zaobserwować w przypadku wydatków konsumpcyjnych. I chociaż można znaleźć także badania wykazujące przeciwne wyniki [np. </w:t>
      </w:r>
      <w:proofErr w:type="spellStart"/>
      <w:r w:rsidRPr="00FF799C">
        <w:rPr>
          <w:rFonts w:ascii="Times New Roman" w:hAnsi="Times New Roman" w:cs="Times New Roman"/>
          <w:sz w:val="24"/>
          <w:szCs w:val="24"/>
          <w:lang w:val="pl-PL"/>
        </w:rPr>
        <w:t>Ghosh</w:t>
      </w:r>
      <w:proofErr w:type="spellEnd"/>
      <w:r w:rsidRPr="00FF799C">
        <w:rPr>
          <w:rFonts w:ascii="Times New Roman" w:hAnsi="Times New Roman" w:cs="Times New Roman"/>
          <w:sz w:val="24"/>
          <w:szCs w:val="24"/>
          <w:lang w:val="pl-PL"/>
        </w:rPr>
        <w:t xml:space="preserve"> i </w:t>
      </w:r>
      <w:proofErr w:type="spellStart"/>
      <w:r w:rsidRPr="00FF799C">
        <w:rPr>
          <w:rFonts w:ascii="Times New Roman" w:hAnsi="Times New Roman" w:cs="Times New Roman"/>
          <w:sz w:val="24"/>
          <w:szCs w:val="24"/>
          <w:lang w:val="pl-PL"/>
        </w:rPr>
        <w:t>Gregoriou</w:t>
      </w:r>
      <w:proofErr w:type="spellEnd"/>
      <w:r w:rsidRPr="00FF799C">
        <w:rPr>
          <w:rFonts w:ascii="Times New Roman" w:hAnsi="Times New Roman" w:cs="Times New Roman"/>
          <w:sz w:val="24"/>
          <w:szCs w:val="24"/>
          <w:lang w:val="pl-PL"/>
        </w:rPr>
        <w:t xml:space="preserve"> 2008], to jednak zdecydowana większość analiz wydaje się potwierdzać tę zależność. Kolejnym krokiem było wyróżnienie kategorii wydatków produktywnych (</w:t>
      </w:r>
      <w:r w:rsidRPr="00FF799C">
        <w:rPr>
          <w:rFonts w:ascii="Times New Roman" w:hAnsi="Times New Roman" w:cs="Times New Roman"/>
          <w:i/>
          <w:sz w:val="24"/>
          <w:szCs w:val="24"/>
          <w:lang w:val="pl-PL"/>
        </w:rPr>
        <w:t>versus</w:t>
      </w:r>
      <w:r w:rsidRPr="00FF799C">
        <w:rPr>
          <w:rFonts w:ascii="Times New Roman" w:hAnsi="Times New Roman" w:cs="Times New Roman"/>
          <w:sz w:val="24"/>
          <w:szCs w:val="24"/>
          <w:lang w:val="pl-PL"/>
        </w:rPr>
        <w:t xml:space="preserve"> wydatki konsumpcyjne i transfery). Sposób ich definiowania i </w:t>
      </w:r>
      <w:r w:rsidRPr="00FF799C">
        <w:rPr>
          <w:rFonts w:ascii="Times New Roman" w:hAnsi="Times New Roman" w:cs="Times New Roman"/>
          <w:sz w:val="24"/>
          <w:szCs w:val="24"/>
          <w:lang w:val="pl-PL"/>
        </w:rPr>
        <w:lastRenderedPageBreak/>
        <w:t xml:space="preserve">zakres uwzględnianych </w:t>
      </w:r>
      <w:r w:rsidR="0083306F">
        <w:rPr>
          <w:rFonts w:ascii="Times New Roman" w:hAnsi="Times New Roman" w:cs="Times New Roman"/>
          <w:sz w:val="24"/>
          <w:szCs w:val="24"/>
          <w:lang w:val="pl-PL"/>
        </w:rPr>
        <w:t>wydatków</w:t>
      </w:r>
      <w:r w:rsidRPr="00FF799C">
        <w:rPr>
          <w:rFonts w:ascii="Times New Roman" w:hAnsi="Times New Roman" w:cs="Times New Roman"/>
          <w:sz w:val="24"/>
          <w:szCs w:val="24"/>
          <w:lang w:val="pl-PL"/>
        </w:rPr>
        <w:t xml:space="preserve"> nie jest </w:t>
      </w:r>
      <w:r w:rsidR="0083306F">
        <w:rPr>
          <w:rFonts w:ascii="Times New Roman" w:hAnsi="Times New Roman" w:cs="Times New Roman"/>
          <w:sz w:val="24"/>
          <w:szCs w:val="24"/>
          <w:lang w:val="pl-PL"/>
        </w:rPr>
        <w:t xml:space="preserve">jednak </w:t>
      </w:r>
      <w:r w:rsidRPr="00FF799C">
        <w:rPr>
          <w:rFonts w:ascii="Times New Roman" w:hAnsi="Times New Roman" w:cs="Times New Roman"/>
          <w:sz w:val="24"/>
          <w:szCs w:val="24"/>
          <w:lang w:val="pl-PL"/>
        </w:rPr>
        <w:t xml:space="preserve">jednolity. Wąska definicja uwzględnia głównie nakłady inwestycyjne w infrastrukturę, wydatki na edukację oraz wydatki na badania i rozwój [np. </w:t>
      </w:r>
      <w:proofErr w:type="spellStart"/>
      <w:r w:rsidRPr="00FF799C">
        <w:rPr>
          <w:rFonts w:ascii="Times New Roman" w:hAnsi="Times New Roman" w:cs="Times New Roman"/>
          <w:sz w:val="24"/>
          <w:szCs w:val="24"/>
          <w:lang w:val="pl-PL"/>
        </w:rPr>
        <w:t>Glomm</w:t>
      </w:r>
      <w:proofErr w:type="spellEnd"/>
      <w:r w:rsidRPr="00FF799C">
        <w:rPr>
          <w:rFonts w:ascii="Times New Roman" w:hAnsi="Times New Roman" w:cs="Times New Roman"/>
          <w:sz w:val="24"/>
          <w:szCs w:val="24"/>
          <w:lang w:val="pl-PL"/>
        </w:rPr>
        <w:t xml:space="preserve"> i </w:t>
      </w:r>
      <w:proofErr w:type="spellStart"/>
      <w:r w:rsidRPr="00FF799C">
        <w:rPr>
          <w:rFonts w:ascii="Times New Roman" w:hAnsi="Times New Roman" w:cs="Times New Roman"/>
          <w:sz w:val="24"/>
          <w:szCs w:val="24"/>
          <w:lang w:val="pl-PL"/>
        </w:rPr>
        <w:t>Ravikumar</w:t>
      </w:r>
      <w:proofErr w:type="spellEnd"/>
      <w:r w:rsidRPr="00FF799C">
        <w:rPr>
          <w:rFonts w:ascii="Times New Roman" w:hAnsi="Times New Roman" w:cs="Times New Roman"/>
          <w:sz w:val="24"/>
          <w:szCs w:val="24"/>
          <w:lang w:val="pl-PL"/>
        </w:rPr>
        <w:t xml:space="preserve"> 1997], szersze uwzględniają także inne wydatki prowadzące do wzrostu kapitału ludzkiego (na ochronę zdrowia, ochronę środowiska, kulturę i wypoczynek</w:t>
      </w:r>
      <w:r w:rsidR="001D5CF1">
        <w:rPr>
          <w:rFonts w:ascii="Times New Roman" w:hAnsi="Times New Roman" w:cs="Times New Roman"/>
          <w:sz w:val="24"/>
          <w:szCs w:val="24"/>
          <w:lang w:val="pl-PL"/>
        </w:rPr>
        <w:t>) [</w:t>
      </w:r>
      <w:proofErr w:type="spellStart"/>
      <w:r w:rsidR="001D5CF1">
        <w:rPr>
          <w:rFonts w:ascii="Times New Roman" w:hAnsi="Times New Roman" w:cs="Times New Roman"/>
          <w:sz w:val="24"/>
          <w:szCs w:val="24"/>
          <w:lang w:val="pl-PL"/>
        </w:rPr>
        <w:t>Benos</w:t>
      </w:r>
      <w:proofErr w:type="spellEnd"/>
      <w:r w:rsidR="001D5CF1">
        <w:rPr>
          <w:rFonts w:ascii="Times New Roman" w:hAnsi="Times New Roman" w:cs="Times New Roman"/>
          <w:sz w:val="24"/>
          <w:szCs w:val="24"/>
          <w:lang w:val="pl-PL"/>
        </w:rPr>
        <w:t xml:space="preserve"> 2009]</w:t>
      </w:r>
      <w:r w:rsidRPr="00FF799C">
        <w:rPr>
          <w:rFonts w:ascii="Times New Roman" w:hAnsi="Times New Roman" w:cs="Times New Roman"/>
          <w:sz w:val="24"/>
          <w:szCs w:val="24"/>
          <w:lang w:val="pl-PL"/>
        </w:rPr>
        <w:t>, a nawet część  transferów, skierowanych na wspar</w:t>
      </w:r>
      <w:r w:rsidR="001D5CF1">
        <w:rPr>
          <w:rFonts w:ascii="Times New Roman" w:hAnsi="Times New Roman" w:cs="Times New Roman"/>
          <w:sz w:val="24"/>
          <w:szCs w:val="24"/>
          <w:lang w:val="pl-PL"/>
        </w:rPr>
        <w:t>cie rodzin i wyrównywanie szans.</w:t>
      </w:r>
      <w:r w:rsidRPr="00FF799C">
        <w:rPr>
          <w:rFonts w:ascii="Times New Roman" w:hAnsi="Times New Roman" w:cs="Times New Roman"/>
          <w:sz w:val="24"/>
          <w:szCs w:val="24"/>
          <w:lang w:val="pl-PL"/>
        </w:rPr>
        <w:t xml:space="preserve"> Wprowadzenie w międzynarodowych statystykach jednolitych standardów  klasyfikacji wydatków wg kryterium funkcji (COFOG), spowodowało, że coraz częściej w badaniach empirycznych autorzy analizując wpływ struktury, nawiązują właśnie do struktury funkcjonalnej (m.in.</w:t>
      </w:r>
      <w:r w:rsidR="00806964">
        <w:rPr>
          <w:rFonts w:ascii="Times New Roman" w:hAnsi="Times New Roman" w:cs="Times New Roman"/>
          <w:sz w:val="24"/>
          <w:szCs w:val="24"/>
          <w:lang w:val="pl-PL"/>
        </w:rPr>
        <w:t xml:space="preserve"> [</w:t>
      </w:r>
      <w:r w:rsidR="0083306F" w:rsidRPr="003A2722">
        <w:rPr>
          <w:rFonts w:ascii="Times New Roman" w:hAnsi="Times New Roman" w:cs="Times New Roman"/>
          <w:sz w:val="24"/>
          <w:szCs w:val="24"/>
          <w:lang w:val="pl-PL"/>
        </w:rPr>
        <w:t>Szarowska</w:t>
      </w:r>
      <w:r w:rsidR="0083306F">
        <w:rPr>
          <w:rFonts w:ascii="Times New Roman" w:hAnsi="Times New Roman" w:cs="Times New Roman"/>
          <w:sz w:val="24"/>
          <w:szCs w:val="24"/>
          <w:lang w:val="pl-PL"/>
        </w:rPr>
        <w:t xml:space="preserve"> 2014</w:t>
      </w:r>
      <w:r w:rsidR="00806964">
        <w:rPr>
          <w:rFonts w:ascii="Times New Roman" w:hAnsi="Times New Roman" w:cs="Times New Roman"/>
          <w:sz w:val="24"/>
          <w:szCs w:val="24"/>
          <w:lang w:val="pl-PL"/>
        </w:rPr>
        <w:t>]</w:t>
      </w:r>
      <w:r w:rsidRPr="00FF799C">
        <w:rPr>
          <w:rFonts w:ascii="Times New Roman" w:hAnsi="Times New Roman" w:cs="Times New Roman"/>
          <w:sz w:val="24"/>
          <w:szCs w:val="24"/>
          <w:lang w:val="pl-PL"/>
        </w:rPr>
        <w:t xml:space="preserve">).  Przejście od struktury ekonomicznej do struktury funkcjonalnej rodzi </w:t>
      </w:r>
      <w:r w:rsidR="001D5CF1" w:rsidRPr="00FF799C">
        <w:rPr>
          <w:rFonts w:ascii="Times New Roman" w:hAnsi="Times New Roman" w:cs="Times New Roman"/>
          <w:sz w:val="24"/>
          <w:szCs w:val="24"/>
          <w:lang w:val="pl-PL"/>
        </w:rPr>
        <w:t xml:space="preserve">jednak </w:t>
      </w:r>
      <w:r w:rsidRPr="00FF799C">
        <w:rPr>
          <w:rFonts w:ascii="Times New Roman" w:hAnsi="Times New Roman" w:cs="Times New Roman"/>
          <w:sz w:val="24"/>
          <w:szCs w:val="24"/>
          <w:lang w:val="pl-PL"/>
        </w:rPr>
        <w:t xml:space="preserve">spore trudności, gdyż prawidłowe zdefiniowane wydatków produktywnych wymaga sięgnięcia do niższego stopnia agregacji (COFOG-II), w przypadku którego dostępne dane są niepełne i niespójne. Taki problem dotyczy na przykład wydatków na badania i rozwój (które stanowią podkategorię w każdej głównej grupie funkcjonalnej) oraz wydatków na transport czy </w:t>
      </w:r>
      <w:r w:rsidR="00A91FF4">
        <w:rPr>
          <w:rFonts w:ascii="Times New Roman" w:hAnsi="Times New Roman" w:cs="Times New Roman"/>
          <w:sz w:val="24"/>
          <w:szCs w:val="24"/>
          <w:lang w:val="pl-PL"/>
        </w:rPr>
        <w:t>łączność</w:t>
      </w:r>
      <w:r w:rsidRPr="00FF799C">
        <w:rPr>
          <w:rFonts w:ascii="Times New Roman" w:hAnsi="Times New Roman" w:cs="Times New Roman"/>
          <w:sz w:val="24"/>
          <w:szCs w:val="24"/>
          <w:lang w:val="pl-PL"/>
        </w:rPr>
        <w:t xml:space="preserve"> (zagregowanych wraz z innymi w grupie wydatki na sprawy gospodarcze). Analiza porównawcza wysokości i struktury funkcjonalnej wydatków publicznych w krajach UE, pokazuje istotne zróżnicowanie pomiędzy krajami członkowskimi, a </w:t>
      </w:r>
      <w:r w:rsidR="001D5CF1">
        <w:rPr>
          <w:rFonts w:ascii="Times New Roman" w:hAnsi="Times New Roman" w:cs="Times New Roman"/>
          <w:sz w:val="24"/>
          <w:szCs w:val="24"/>
          <w:lang w:val="pl-PL"/>
        </w:rPr>
        <w:t xml:space="preserve">niewielki </w:t>
      </w:r>
      <w:r w:rsidRPr="00FF799C">
        <w:rPr>
          <w:rFonts w:ascii="Times New Roman" w:hAnsi="Times New Roman" w:cs="Times New Roman"/>
          <w:sz w:val="24"/>
          <w:szCs w:val="24"/>
          <w:lang w:val="pl-PL"/>
        </w:rPr>
        <w:t>efekt konwergencji dotyczy wielkości wydatków, ale nie ich struktury [</w:t>
      </w:r>
      <w:r w:rsidRPr="003A2722">
        <w:rPr>
          <w:rFonts w:ascii="Times New Roman" w:hAnsi="Times New Roman" w:cs="Times New Roman"/>
          <w:sz w:val="24"/>
          <w:szCs w:val="24"/>
          <w:lang w:val="pl-PL"/>
        </w:rPr>
        <w:t>Ferreiro, Garcia-Del-Valle i Gomez</w:t>
      </w:r>
      <w:r w:rsidRPr="00FF799C">
        <w:rPr>
          <w:rFonts w:ascii="Times New Roman" w:hAnsi="Times New Roman" w:cs="Times New Roman"/>
          <w:sz w:val="24"/>
          <w:szCs w:val="24"/>
          <w:lang w:val="pl-PL"/>
        </w:rPr>
        <w:t xml:space="preserve"> 2013], co może świadczyć o konieczności indywidualnego dostosowania prowadzonej polityki fiskalnej do wielkości, zamożności i tempa wzrostu poszczególnych krajów oraz koordynacji z innymi instrumentami oddziaływania na gospodarkę. Przedmiotem analizy w dalszej części artykułu będą wydatki publiczne w krajach Europy Środkowo-Wschodniej, a zatem w grupie znacznie bardziej homogenicznej, ale mimo to także wykazującej istotne zróżnicowanie w wysokości i k</w:t>
      </w:r>
      <w:r w:rsidR="00806964">
        <w:rPr>
          <w:rFonts w:ascii="Times New Roman" w:hAnsi="Times New Roman" w:cs="Times New Roman"/>
          <w:sz w:val="24"/>
          <w:szCs w:val="24"/>
          <w:lang w:val="pl-PL"/>
        </w:rPr>
        <w:t>ompozycji wydatków publicznych.</w:t>
      </w:r>
    </w:p>
    <w:p w:rsidR="001D5CF1" w:rsidRPr="00FF799C" w:rsidRDefault="001D5CF1" w:rsidP="001D5CF1">
      <w:pPr>
        <w:spacing w:after="0" w:line="360" w:lineRule="auto"/>
        <w:ind w:firstLine="708"/>
        <w:jc w:val="both"/>
        <w:outlineLvl w:val="2"/>
        <w:rPr>
          <w:rFonts w:ascii="Times New Roman" w:hAnsi="Times New Roman" w:cs="Times New Roman"/>
          <w:sz w:val="24"/>
          <w:szCs w:val="24"/>
          <w:lang w:val="pl-PL"/>
        </w:rPr>
      </w:pPr>
    </w:p>
    <w:p w:rsidR="00FE7963" w:rsidRPr="00191650" w:rsidRDefault="00FE7963" w:rsidP="00191650">
      <w:pPr>
        <w:pStyle w:val="Akapitzlist"/>
        <w:numPr>
          <w:ilvl w:val="0"/>
          <w:numId w:val="8"/>
        </w:numPr>
        <w:rPr>
          <w:rFonts w:ascii="Times New Roman" w:hAnsi="Times New Roman" w:cs="Times New Roman"/>
          <w:b/>
          <w:sz w:val="24"/>
          <w:szCs w:val="24"/>
          <w:lang w:val="pl-PL"/>
        </w:rPr>
      </w:pPr>
      <w:r w:rsidRPr="00191650">
        <w:rPr>
          <w:rFonts w:ascii="Times New Roman" w:hAnsi="Times New Roman" w:cs="Times New Roman"/>
          <w:b/>
          <w:sz w:val="24"/>
          <w:szCs w:val="24"/>
          <w:lang w:val="pl-PL"/>
        </w:rPr>
        <w:t>Wysokość wydatków publicznych w krajach E</w:t>
      </w:r>
      <w:r w:rsidR="00CD5646" w:rsidRPr="00191650">
        <w:rPr>
          <w:rFonts w:ascii="Times New Roman" w:hAnsi="Times New Roman" w:cs="Times New Roman"/>
          <w:b/>
          <w:sz w:val="24"/>
          <w:szCs w:val="24"/>
          <w:lang w:val="pl-PL"/>
        </w:rPr>
        <w:t>uropy Środkowo-</w:t>
      </w:r>
      <w:r w:rsidRPr="00191650">
        <w:rPr>
          <w:rFonts w:ascii="Times New Roman" w:hAnsi="Times New Roman" w:cs="Times New Roman"/>
          <w:b/>
          <w:sz w:val="24"/>
          <w:szCs w:val="24"/>
          <w:lang w:val="pl-PL"/>
        </w:rPr>
        <w:t>W</w:t>
      </w:r>
      <w:r w:rsidR="00CD5646" w:rsidRPr="00191650">
        <w:rPr>
          <w:rFonts w:ascii="Times New Roman" w:hAnsi="Times New Roman" w:cs="Times New Roman"/>
          <w:b/>
          <w:sz w:val="24"/>
          <w:szCs w:val="24"/>
          <w:lang w:val="pl-PL"/>
        </w:rPr>
        <w:t>schodniej</w:t>
      </w:r>
    </w:p>
    <w:p w:rsidR="00D146D7" w:rsidRDefault="0002497B" w:rsidP="006D5EB8">
      <w:pPr>
        <w:spacing w:after="0" w:line="360" w:lineRule="auto"/>
        <w:ind w:firstLine="720"/>
        <w:jc w:val="both"/>
        <w:rPr>
          <w:rFonts w:ascii="Times New Roman" w:hAnsi="Times New Roman" w:cs="Times New Roman"/>
          <w:sz w:val="24"/>
          <w:szCs w:val="24"/>
          <w:lang w:val="pl-PL"/>
        </w:rPr>
      </w:pPr>
      <w:r w:rsidRPr="0002497B">
        <w:rPr>
          <w:rFonts w:ascii="Times New Roman" w:hAnsi="Times New Roman" w:cs="Times New Roman"/>
          <w:sz w:val="24"/>
          <w:szCs w:val="24"/>
          <w:lang w:val="pl-PL"/>
        </w:rPr>
        <w:t>Do analizy przyjęto 11 krajów Europy Środkowo-Wschodniej</w:t>
      </w:r>
      <w:r w:rsidR="006544C6">
        <w:rPr>
          <w:rFonts w:ascii="Times New Roman" w:hAnsi="Times New Roman" w:cs="Times New Roman"/>
          <w:sz w:val="24"/>
          <w:szCs w:val="24"/>
          <w:lang w:val="pl-PL"/>
        </w:rPr>
        <w:t xml:space="preserve"> (ESW</w:t>
      </w:r>
      <w:r w:rsidR="003A2722">
        <w:rPr>
          <w:rFonts w:ascii="Times New Roman" w:hAnsi="Times New Roman" w:cs="Times New Roman"/>
          <w:sz w:val="24"/>
          <w:szCs w:val="24"/>
          <w:lang w:val="pl-PL"/>
        </w:rPr>
        <w:t>11</w:t>
      </w:r>
      <w:r w:rsidR="006544C6">
        <w:rPr>
          <w:rFonts w:ascii="Times New Roman" w:hAnsi="Times New Roman" w:cs="Times New Roman"/>
          <w:sz w:val="24"/>
          <w:szCs w:val="24"/>
          <w:lang w:val="pl-PL"/>
        </w:rPr>
        <w:t>)</w:t>
      </w:r>
      <w:r w:rsidRPr="0002497B">
        <w:rPr>
          <w:rFonts w:ascii="Times New Roman" w:hAnsi="Times New Roman" w:cs="Times New Roman"/>
          <w:sz w:val="24"/>
          <w:szCs w:val="24"/>
          <w:lang w:val="pl-PL"/>
        </w:rPr>
        <w:t>, będących członkami Unii Europejskiej.</w:t>
      </w:r>
      <w:r>
        <w:rPr>
          <w:rFonts w:ascii="Times New Roman" w:hAnsi="Times New Roman" w:cs="Times New Roman"/>
          <w:sz w:val="24"/>
          <w:szCs w:val="24"/>
          <w:lang w:val="pl-PL"/>
        </w:rPr>
        <w:t xml:space="preserve"> Dane dotyczące </w:t>
      </w:r>
      <w:r w:rsidR="00DD1332">
        <w:rPr>
          <w:rFonts w:ascii="Times New Roman" w:hAnsi="Times New Roman" w:cs="Times New Roman"/>
          <w:sz w:val="24"/>
          <w:szCs w:val="24"/>
          <w:lang w:val="pl-PL"/>
        </w:rPr>
        <w:t xml:space="preserve">wysokości i struktury </w:t>
      </w:r>
      <w:r>
        <w:rPr>
          <w:rFonts w:ascii="Times New Roman" w:hAnsi="Times New Roman" w:cs="Times New Roman"/>
          <w:sz w:val="24"/>
          <w:szCs w:val="24"/>
          <w:lang w:val="pl-PL"/>
        </w:rPr>
        <w:t xml:space="preserve">wydatków publicznych </w:t>
      </w:r>
      <w:r w:rsidR="00D146D7">
        <w:rPr>
          <w:rFonts w:ascii="Times New Roman" w:hAnsi="Times New Roman" w:cs="Times New Roman"/>
          <w:sz w:val="24"/>
          <w:szCs w:val="24"/>
          <w:lang w:val="pl-PL"/>
        </w:rPr>
        <w:t xml:space="preserve">(klasyfikacja COFOG) </w:t>
      </w:r>
      <w:r>
        <w:rPr>
          <w:rFonts w:ascii="Times New Roman" w:hAnsi="Times New Roman" w:cs="Times New Roman"/>
          <w:sz w:val="24"/>
          <w:szCs w:val="24"/>
          <w:lang w:val="pl-PL"/>
        </w:rPr>
        <w:t>pochodzą z bazy Eurostat</w:t>
      </w:r>
      <w:r w:rsidR="00DD1332">
        <w:rPr>
          <w:rFonts w:ascii="Times New Roman" w:hAnsi="Times New Roman" w:cs="Times New Roman"/>
          <w:sz w:val="24"/>
          <w:szCs w:val="24"/>
          <w:lang w:val="pl-PL"/>
        </w:rPr>
        <w:t xml:space="preserve"> </w:t>
      </w:r>
      <w:r>
        <w:rPr>
          <w:rFonts w:ascii="Times New Roman" w:hAnsi="Times New Roman" w:cs="Times New Roman"/>
          <w:sz w:val="24"/>
          <w:szCs w:val="24"/>
          <w:lang w:val="pl-PL"/>
        </w:rPr>
        <w:t xml:space="preserve">i obejmują okres </w:t>
      </w:r>
      <w:r w:rsidR="00FC27F7">
        <w:rPr>
          <w:rFonts w:ascii="Times New Roman" w:hAnsi="Times New Roman" w:cs="Times New Roman"/>
          <w:sz w:val="24"/>
          <w:szCs w:val="24"/>
          <w:lang w:val="pl-PL"/>
        </w:rPr>
        <w:t>2002</w:t>
      </w:r>
      <w:r w:rsidR="0071582C">
        <w:rPr>
          <w:rFonts w:ascii="Times New Roman" w:hAnsi="Times New Roman" w:cs="Times New Roman"/>
          <w:sz w:val="24"/>
          <w:szCs w:val="24"/>
          <w:lang w:val="pl-PL"/>
        </w:rPr>
        <w:t xml:space="preserve">-2014. Dane o </w:t>
      </w:r>
      <w:r w:rsidR="0071582C">
        <w:rPr>
          <w:rFonts w:ascii="Times New Roman" w:hAnsi="Times New Roman" w:cs="Times New Roman"/>
          <w:sz w:val="24"/>
          <w:szCs w:val="24"/>
          <w:lang w:val="pl-PL"/>
        </w:rPr>
        <w:lastRenderedPageBreak/>
        <w:t>wydatkach podane w cenach bieżących (w euro) przeliczono na c</w:t>
      </w:r>
      <w:r>
        <w:rPr>
          <w:rFonts w:ascii="Times New Roman" w:hAnsi="Times New Roman" w:cs="Times New Roman"/>
          <w:sz w:val="24"/>
          <w:szCs w:val="24"/>
          <w:lang w:val="pl-PL"/>
        </w:rPr>
        <w:t xml:space="preserve">eny stałe </w:t>
      </w:r>
      <w:r w:rsidR="00D146D7">
        <w:rPr>
          <w:rFonts w:ascii="Times New Roman" w:hAnsi="Times New Roman" w:cs="Times New Roman"/>
          <w:sz w:val="24"/>
          <w:szCs w:val="24"/>
          <w:lang w:val="pl-PL"/>
        </w:rPr>
        <w:t xml:space="preserve">z wykorzystaniem </w:t>
      </w:r>
      <w:proofErr w:type="spellStart"/>
      <w:r w:rsidR="00D146D7">
        <w:rPr>
          <w:rFonts w:ascii="Times New Roman" w:hAnsi="Times New Roman" w:cs="Times New Roman"/>
          <w:sz w:val="24"/>
          <w:szCs w:val="24"/>
          <w:lang w:val="pl-PL"/>
        </w:rPr>
        <w:t>deflatora</w:t>
      </w:r>
      <w:proofErr w:type="spellEnd"/>
      <w:r w:rsidR="00D146D7">
        <w:rPr>
          <w:rFonts w:ascii="Times New Roman" w:hAnsi="Times New Roman" w:cs="Times New Roman"/>
          <w:sz w:val="24"/>
          <w:szCs w:val="24"/>
          <w:lang w:val="pl-PL"/>
        </w:rPr>
        <w:t xml:space="preserve"> PKB</w:t>
      </w:r>
      <w:r w:rsidR="0071582C">
        <w:rPr>
          <w:rFonts w:ascii="Times New Roman" w:hAnsi="Times New Roman" w:cs="Times New Roman"/>
          <w:sz w:val="24"/>
          <w:szCs w:val="24"/>
          <w:lang w:val="pl-PL"/>
        </w:rPr>
        <w:t>.</w:t>
      </w:r>
    </w:p>
    <w:p w:rsidR="001D5CF1" w:rsidRPr="00473E46" w:rsidRDefault="001D5CF1" w:rsidP="001D5CF1">
      <w:pPr>
        <w:spacing w:before="240" w:after="0" w:line="360" w:lineRule="auto"/>
        <w:rPr>
          <w:rFonts w:ascii="Times New Roman" w:hAnsi="Times New Roman" w:cs="Times New Roman"/>
          <w:sz w:val="20"/>
          <w:szCs w:val="24"/>
          <w:lang w:val="pl-PL"/>
        </w:rPr>
      </w:pPr>
      <w:r w:rsidRPr="00473E46">
        <w:rPr>
          <w:rFonts w:ascii="Times New Roman" w:hAnsi="Times New Roman" w:cs="Times New Roman"/>
          <w:sz w:val="20"/>
          <w:szCs w:val="24"/>
          <w:lang w:val="pl-PL"/>
        </w:rPr>
        <w:t xml:space="preserve">Tabela </w:t>
      </w:r>
      <w:r>
        <w:rPr>
          <w:rFonts w:ascii="Times New Roman" w:hAnsi="Times New Roman" w:cs="Times New Roman"/>
          <w:sz w:val="20"/>
          <w:szCs w:val="24"/>
          <w:lang w:val="pl-PL"/>
        </w:rPr>
        <w:t>1</w:t>
      </w:r>
      <w:r w:rsidRPr="00473E46">
        <w:rPr>
          <w:rFonts w:ascii="Times New Roman" w:hAnsi="Times New Roman" w:cs="Times New Roman"/>
          <w:sz w:val="20"/>
          <w:szCs w:val="24"/>
          <w:lang w:val="pl-PL"/>
        </w:rPr>
        <w:t>. Realne stopy wzrostu PKB oraz wydatków publicznyc</w:t>
      </w:r>
      <w:r>
        <w:rPr>
          <w:rFonts w:ascii="Times New Roman" w:hAnsi="Times New Roman" w:cs="Times New Roman"/>
          <w:sz w:val="20"/>
          <w:szCs w:val="24"/>
          <w:lang w:val="pl-PL"/>
        </w:rPr>
        <w:t xml:space="preserve">h </w:t>
      </w:r>
    </w:p>
    <w:tbl>
      <w:tblPr>
        <w:tblStyle w:val="Tabela-Siatka"/>
        <w:tblW w:w="0" w:type="auto"/>
        <w:tblBorders>
          <w:insideH w:val="none" w:sz="0" w:space="0" w:color="auto"/>
          <w:insideV w:val="none" w:sz="0" w:space="0" w:color="auto"/>
        </w:tblBorders>
        <w:tblLook w:val="04A0" w:firstRow="1" w:lastRow="0" w:firstColumn="1" w:lastColumn="0" w:noHBand="0" w:noVBand="1"/>
      </w:tblPr>
      <w:tblGrid>
        <w:gridCol w:w="1105"/>
        <w:gridCol w:w="1140"/>
        <w:gridCol w:w="706"/>
        <w:gridCol w:w="616"/>
        <w:gridCol w:w="794"/>
        <w:gridCol w:w="959"/>
        <w:gridCol w:w="705"/>
        <w:gridCol w:w="746"/>
      </w:tblGrid>
      <w:tr w:rsidR="001D5CF1" w:rsidRPr="0071582C" w:rsidTr="007B488D">
        <w:trPr>
          <w:trHeight w:val="660"/>
        </w:trPr>
        <w:tc>
          <w:tcPr>
            <w:tcW w:w="1105" w:type="dxa"/>
            <w:tcBorders>
              <w:top w:val="single" w:sz="4" w:space="0" w:color="auto"/>
              <w:bottom w:val="nil"/>
              <w:righ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lang w:val="pl-PL"/>
              </w:rPr>
            </w:pPr>
          </w:p>
        </w:tc>
        <w:tc>
          <w:tcPr>
            <w:tcW w:w="1140" w:type="dxa"/>
            <w:tcBorders>
              <w:top w:val="single" w:sz="4" w:space="0" w:color="auto"/>
              <w:left w:val="single" w:sz="4" w:space="0" w:color="auto"/>
              <w:bottom w:val="nil"/>
              <w:righ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WP (%PKB)</w:t>
            </w:r>
          </w:p>
        </w:tc>
        <w:tc>
          <w:tcPr>
            <w:tcW w:w="2116" w:type="dxa"/>
            <w:gridSpan w:val="3"/>
            <w:tcBorders>
              <w:top w:val="single" w:sz="4" w:space="0" w:color="auto"/>
              <w:left w:val="single" w:sz="4" w:space="0" w:color="auto"/>
              <w:bottom w:val="nil"/>
              <w:right w:val="single" w:sz="4" w:space="0" w:color="auto"/>
            </w:tcBorders>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 xml:space="preserve">5-letnia </w:t>
            </w:r>
            <w:proofErr w:type="spellStart"/>
            <w:r w:rsidRPr="0071582C">
              <w:rPr>
                <w:rFonts w:ascii="Times New Roman" w:hAnsi="Times New Roman" w:cs="Times New Roman"/>
                <w:sz w:val="20"/>
                <w:szCs w:val="20"/>
              </w:rPr>
              <w:t>stopa</w:t>
            </w:r>
            <w:proofErr w:type="spellEnd"/>
            <w:r w:rsidRPr="0071582C">
              <w:rPr>
                <w:rFonts w:ascii="Times New Roman" w:hAnsi="Times New Roman" w:cs="Times New Roman"/>
                <w:sz w:val="20"/>
                <w:szCs w:val="20"/>
              </w:rPr>
              <w:t xml:space="preserve"> </w:t>
            </w:r>
            <w:proofErr w:type="spellStart"/>
            <w:r w:rsidRPr="0071582C">
              <w:rPr>
                <w:rFonts w:ascii="Times New Roman" w:hAnsi="Times New Roman" w:cs="Times New Roman"/>
                <w:sz w:val="20"/>
                <w:szCs w:val="20"/>
              </w:rPr>
              <w:t>wzrostu</w:t>
            </w:r>
            <w:proofErr w:type="spellEnd"/>
            <w:r w:rsidRPr="0071582C">
              <w:rPr>
                <w:rFonts w:ascii="Times New Roman" w:hAnsi="Times New Roman" w:cs="Times New Roman"/>
                <w:sz w:val="20"/>
                <w:szCs w:val="20"/>
              </w:rPr>
              <w:t xml:space="preserve"> 2002:2007  (%)</w:t>
            </w:r>
          </w:p>
        </w:tc>
        <w:tc>
          <w:tcPr>
            <w:tcW w:w="2410" w:type="dxa"/>
            <w:gridSpan w:val="3"/>
            <w:tcBorders>
              <w:top w:val="single" w:sz="4" w:space="0" w:color="auto"/>
              <w:left w:val="single" w:sz="4" w:space="0" w:color="auto"/>
              <w:bottom w:val="nil"/>
            </w:tcBorders>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 xml:space="preserve">7-letnia </w:t>
            </w:r>
            <w:proofErr w:type="spellStart"/>
            <w:r w:rsidRPr="0071582C">
              <w:rPr>
                <w:rFonts w:ascii="Times New Roman" w:hAnsi="Times New Roman" w:cs="Times New Roman"/>
                <w:sz w:val="20"/>
                <w:szCs w:val="20"/>
              </w:rPr>
              <w:t>stopa</w:t>
            </w:r>
            <w:proofErr w:type="spellEnd"/>
            <w:r w:rsidRPr="0071582C">
              <w:rPr>
                <w:rFonts w:ascii="Times New Roman" w:hAnsi="Times New Roman" w:cs="Times New Roman"/>
                <w:sz w:val="20"/>
                <w:szCs w:val="20"/>
              </w:rPr>
              <w:t xml:space="preserve"> </w:t>
            </w:r>
            <w:proofErr w:type="spellStart"/>
            <w:r w:rsidRPr="0071582C">
              <w:rPr>
                <w:rFonts w:ascii="Times New Roman" w:hAnsi="Times New Roman" w:cs="Times New Roman"/>
                <w:sz w:val="20"/>
                <w:szCs w:val="20"/>
              </w:rPr>
              <w:t>wzrostu</w:t>
            </w:r>
            <w:proofErr w:type="spellEnd"/>
            <w:r w:rsidRPr="0071582C">
              <w:rPr>
                <w:rFonts w:ascii="Times New Roman" w:hAnsi="Times New Roman" w:cs="Times New Roman"/>
                <w:sz w:val="20"/>
                <w:szCs w:val="20"/>
              </w:rPr>
              <w:t xml:space="preserve"> 2007:2017  (%)</w:t>
            </w:r>
          </w:p>
        </w:tc>
      </w:tr>
      <w:tr w:rsidR="001D5CF1" w:rsidRPr="0071582C" w:rsidTr="007B488D">
        <w:trPr>
          <w:trHeight w:val="315"/>
        </w:trPr>
        <w:tc>
          <w:tcPr>
            <w:tcW w:w="1105" w:type="dxa"/>
            <w:tcBorders>
              <w:top w:val="nil"/>
              <w:bottom w:val="single" w:sz="4" w:space="0" w:color="auto"/>
              <w:right w:val="single" w:sz="4" w:space="0" w:color="auto"/>
            </w:tcBorders>
            <w:noWrap/>
            <w:hideMark/>
          </w:tcPr>
          <w:p w:rsidR="001D5CF1" w:rsidRPr="0071582C" w:rsidRDefault="001D5CF1" w:rsidP="007B488D">
            <w:pPr>
              <w:spacing w:line="360" w:lineRule="auto"/>
              <w:rPr>
                <w:rFonts w:ascii="Times New Roman" w:hAnsi="Times New Roman" w:cs="Times New Roman"/>
                <w:sz w:val="20"/>
                <w:szCs w:val="20"/>
              </w:rPr>
            </w:pPr>
            <w:r w:rsidRPr="0071582C">
              <w:rPr>
                <w:rFonts w:ascii="Times New Roman" w:hAnsi="Times New Roman" w:cs="Times New Roman"/>
                <w:sz w:val="20"/>
                <w:szCs w:val="20"/>
              </w:rPr>
              <w:t>KRAJ</w:t>
            </w:r>
          </w:p>
        </w:tc>
        <w:tc>
          <w:tcPr>
            <w:tcW w:w="1140" w:type="dxa"/>
            <w:tcBorders>
              <w:top w:val="nil"/>
              <w:left w:val="single" w:sz="4" w:space="0" w:color="auto"/>
              <w:bottom w:val="single" w:sz="4" w:space="0" w:color="auto"/>
              <w:right w:val="single" w:sz="4" w:space="0" w:color="auto"/>
            </w:tcBorders>
            <w:noWrap/>
            <w:hideMark/>
          </w:tcPr>
          <w:p w:rsidR="001D5CF1" w:rsidRPr="0071582C" w:rsidRDefault="001D5CF1" w:rsidP="007B488D">
            <w:pPr>
              <w:spacing w:line="360" w:lineRule="auto"/>
              <w:rPr>
                <w:rFonts w:ascii="Times New Roman" w:hAnsi="Times New Roman" w:cs="Times New Roman"/>
                <w:sz w:val="20"/>
                <w:szCs w:val="20"/>
              </w:rPr>
            </w:pPr>
            <w:r w:rsidRPr="0071582C">
              <w:rPr>
                <w:rFonts w:ascii="Times New Roman" w:hAnsi="Times New Roman" w:cs="Times New Roman"/>
                <w:sz w:val="20"/>
                <w:szCs w:val="20"/>
              </w:rPr>
              <w:t>2002-2014</w:t>
            </w:r>
          </w:p>
        </w:tc>
        <w:tc>
          <w:tcPr>
            <w:tcW w:w="706" w:type="dxa"/>
            <w:tcBorders>
              <w:top w:val="nil"/>
              <w:left w:val="single" w:sz="4" w:space="0" w:color="auto"/>
              <w:bottom w:val="single" w:sz="4" w:space="0" w:color="auto"/>
            </w:tcBorders>
            <w:noWrap/>
            <w:hideMark/>
          </w:tcPr>
          <w:p w:rsidR="001D5CF1" w:rsidRPr="0071582C" w:rsidRDefault="001D5CF1" w:rsidP="007B488D">
            <w:pPr>
              <w:spacing w:line="360" w:lineRule="auto"/>
              <w:rPr>
                <w:rFonts w:ascii="Times New Roman" w:hAnsi="Times New Roman" w:cs="Times New Roman"/>
                <w:sz w:val="20"/>
                <w:szCs w:val="20"/>
              </w:rPr>
            </w:pPr>
            <w:proofErr w:type="spellStart"/>
            <w:r w:rsidRPr="0071582C">
              <w:rPr>
                <w:rFonts w:ascii="Times New Roman" w:hAnsi="Times New Roman" w:cs="Times New Roman"/>
                <w:sz w:val="20"/>
                <w:szCs w:val="20"/>
              </w:rPr>
              <w:t>dPKB</w:t>
            </w:r>
            <w:proofErr w:type="spellEnd"/>
          </w:p>
        </w:tc>
        <w:tc>
          <w:tcPr>
            <w:tcW w:w="616" w:type="dxa"/>
            <w:tcBorders>
              <w:top w:val="nil"/>
              <w:bottom w:val="single" w:sz="4" w:space="0" w:color="auto"/>
            </w:tcBorders>
            <w:noWrap/>
            <w:hideMark/>
          </w:tcPr>
          <w:p w:rsidR="001D5CF1" w:rsidRPr="0071582C" w:rsidRDefault="001D5CF1" w:rsidP="007B488D">
            <w:pPr>
              <w:spacing w:line="360" w:lineRule="auto"/>
              <w:rPr>
                <w:rFonts w:ascii="Times New Roman" w:hAnsi="Times New Roman" w:cs="Times New Roman"/>
                <w:sz w:val="20"/>
                <w:szCs w:val="20"/>
              </w:rPr>
            </w:pPr>
            <w:proofErr w:type="spellStart"/>
            <w:r w:rsidRPr="0071582C">
              <w:rPr>
                <w:rFonts w:ascii="Times New Roman" w:hAnsi="Times New Roman" w:cs="Times New Roman"/>
                <w:sz w:val="20"/>
                <w:szCs w:val="20"/>
              </w:rPr>
              <w:t>dWP</w:t>
            </w:r>
            <w:proofErr w:type="spellEnd"/>
          </w:p>
        </w:tc>
        <w:tc>
          <w:tcPr>
            <w:tcW w:w="794" w:type="dxa"/>
            <w:tcBorders>
              <w:top w:val="nil"/>
              <w:bottom w:val="single" w:sz="4" w:space="0" w:color="auto"/>
              <w:right w:val="single" w:sz="4" w:space="0" w:color="auto"/>
            </w:tcBorders>
            <w:noWrap/>
            <w:hideMark/>
          </w:tcPr>
          <w:p w:rsidR="001D5CF1" w:rsidRPr="0071582C" w:rsidRDefault="001D5CF1" w:rsidP="007B488D">
            <w:pPr>
              <w:spacing w:line="360" w:lineRule="auto"/>
              <w:rPr>
                <w:rFonts w:ascii="Times New Roman" w:hAnsi="Times New Roman" w:cs="Times New Roman"/>
                <w:sz w:val="20"/>
                <w:szCs w:val="20"/>
              </w:rPr>
            </w:pPr>
            <w:r w:rsidRPr="0071582C">
              <w:rPr>
                <w:rFonts w:ascii="Symbol" w:hAnsi="Symbol" w:cs="Times New Roman"/>
                <w:sz w:val="20"/>
                <w:szCs w:val="20"/>
                <w:lang w:val="pl-PL"/>
              </w:rPr>
              <w:t></w:t>
            </w:r>
            <w:proofErr w:type="spellStart"/>
            <w:r w:rsidRPr="0071582C">
              <w:rPr>
                <w:rFonts w:ascii="Times New Roman" w:hAnsi="Times New Roman" w:cs="Times New Roman"/>
                <w:sz w:val="20"/>
                <w:szCs w:val="20"/>
                <w:vertAlign w:val="subscript"/>
                <w:lang w:val="pl-PL"/>
              </w:rPr>
              <w:t>wp,pkb</w:t>
            </w:r>
            <w:proofErr w:type="spellEnd"/>
          </w:p>
        </w:tc>
        <w:tc>
          <w:tcPr>
            <w:tcW w:w="959" w:type="dxa"/>
            <w:tcBorders>
              <w:top w:val="nil"/>
              <w:left w:val="single" w:sz="4" w:space="0" w:color="auto"/>
              <w:bottom w:val="single" w:sz="4" w:space="0" w:color="auto"/>
            </w:tcBorders>
            <w:noWrap/>
            <w:hideMark/>
          </w:tcPr>
          <w:p w:rsidR="001D5CF1" w:rsidRPr="0071582C" w:rsidRDefault="001D5CF1" w:rsidP="007B488D">
            <w:pPr>
              <w:spacing w:line="360" w:lineRule="auto"/>
              <w:rPr>
                <w:rFonts w:ascii="Times New Roman" w:hAnsi="Times New Roman" w:cs="Times New Roman"/>
                <w:sz w:val="20"/>
                <w:szCs w:val="20"/>
              </w:rPr>
            </w:pPr>
            <w:proofErr w:type="spellStart"/>
            <w:r w:rsidRPr="0071582C">
              <w:rPr>
                <w:rFonts w:ascii="Times New Roman" w:hAnsi="Times New Roman" w:cs="Times New Roman"/>
                <w:sz w:val="20"/>
                <w:szCs w:val="20"/>
              </w:rPr>
              <w:t>dPKB</w:t>
            </w:r>
            <w:proofErr w:type="spellEnd"/>
          </w:p>
        </w:tc>
        <w:tc>
          <w:tcPr>
            <w:tcW w:w="705" w:type="dxa"/>
            <w:tcBorders>
              <w:top w:val="nil"/>
              <w:bottom w:val="single" w:sz="4" w:space="0" w:color="auto"/>
            </w:tcBorders>
            <w:noWrap/>
            <w:hideMark/>
          </w:tcPr>
          <w:p w:rsidR="001D5CF1" w:rsidRPr="0071582C" w:rsidRDefault="001D5CF1" w:rsidP="007B488D">
            <w:pPr>
              <w:spacing w:line="360" w:lineRule="auto"/>
              <w:rPr>
                <w:rFonts w:ascii="Times New Roman" w:hAnsi="Times New Roman" w:cs="Times New Roman"/>
                <w:sz w:val="20"/>
                <w:szCs w:val="20"/>
              </w:rPr>
            </w:pPr>
            <w:proofErr w:type="spellStart"/>
            <w:r w:rsidRPr="0071582C">
              <w:rPr>
                <w:rFonts w:ascii="Times New Roman" w:hAnsi="Times New Roman" w:cs="Times New Roman"/>
                <w:sz w:val="20"/>
                <w:szCs w:val="20"/>
              </w:rPr>
              <w:t>dWP</w:t>
            </w:r>
            <w:proofErr w:type="spellEnd"/>
          </w:p>
        </w:tc>
        <w:tc>
          <w:tcPr>
            <w:tcW w:w="746" w:type="dxa"/>
            <w:tcBorders>
              <w:top w:val="nil"/>
              <w:bottom w:val="single" w:sz="4" w:space="0" w:color="auto"/>
            </w:tcBorders>
            <w:noWrap/>
            <w:hideMark/>
          </w:tcPr>
          <w:p w:rsidR="001D5CF1" w:rsidRPr="0071582C" w:rsidRDefault="001D5CF1" w:rsidP="007B488D">
            <w:pPr>
              <w:spacing w:line="360" w:lineRule="auto"/>
              <w:rPr>
                <w:rFonts w:ascii="Times New Roman" w:hAnsi="Times New Roman" w:cs="Times New Roman"/>
                <w:sz w:val="20"/>
                <w:szCs w:val="20"/>
              </w:rPr>
            </w:pPr>
            <w:r w:rsidRPr="0071582C">
              <w:rPr>
                <w:rFonts w:ascii="Symbol" w:hAnsi="Symbol" w:cs="Times New Roman"/>
                <w:sz w:val="20"/>
                <w:szCs w:val="20"/>
                <w:lang w:val="pl-PL"/>
              </w:rPr>
              <w:t></w:t>
            </w:r>
            <w:proofErr w:type="spellStart"/>
            <w:r w:rsidRPr="0071582C">
              <w:rPr>
                <w:rFonts w:ascii="Times New Roman" w:hAnsi="Times New Roman" w:cs="Times New Roman"/>
                <w:sz w:val="20"/>
                <w:szCs w:val="20"/>
                <w:vertAlign w:val="subscript"/>
                <w:lang w:val="pl-PL"/>
              </w:rPr>
              <w:t>wp,pkb</w:t>
            </w:r>
            <w:proofErr w:type="spellEnd"/>
          </w:p>
        </w:tc>
      </w:tr>
      <w:tr w:rsidR="001D5CF1" w:rsidRPr="0071582C" w:rsidTr="007B488D">
        <w:trPr>
          <w:trHeight w:val="300"/>
        </w:trPr>
        <w:tc>
          <w:tcPr>
            <w:tcW w:w="1105" w:type="dxa"/>
            <w:tcBorders>
              <w:top w:val="single" w:sz="4" w:space="0" w:color="auto"/>
              <w:right w:val="single" w:sz="4" w:space="0" w:color="auto"/>
            </w:tcBorders>
            <w:noWrap/>
            <w:hideMark/>
          </w:tcPr>
          <w:p w:rsidR="001D5CF1" w:rsidRPr="0071582C" w:rsidRDefault="001D5CF1" w:rsidP="007B488D">
            <w:pPr>
              <w:spacing w:line="276" w:lineRule="auto"/>
              <w:rPr>
                <w:rFonts w:ascii="Times New Roman" w:hAnsi="Times New Roman" w:cs="Times New Roman"/>
                <w:sz w:val="20"/>
                <w:szCs w:val="20"/>
              </w:rPr>
            </w:pPr>
            <w:proofErr w:type="spellStart"/>
            <w:r w:rsidRPr="0071582C">
              <w:rPr>
                <w:rFonts w:ascii="Times New Roman" w:hAnsi="Times New Roman" w:cs="Times New Roman"/>
                <w:sz w:val="20"/>
                <w:szCs w:val="20"/>
              </w:rPr>
              <w:t>Węgry</w:t>
            </w:r>
            <w:proofErr w:type="spellEnd"/>
          </w:p>
        </w:tc>
        <w:tc>
          <w:tcPr>
            <w:tcW w:w="1140" w:type="dxa"/>
            <w:tcBorders>
              <w:top w:val="single" w:sz="4" w:space="0" w:color="auto"/>
              <w:left w:val="single" w:sz="4" w:space="0" w:color="auto"/>
              <w:righ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49,7</w:t>
            </w:r>
          </w:p>
        </w:tc>
        <w:tc>
          <w:tcPr>
            <w:tcW w:w="706" w:type="dxa"/>
            <w:tcBorders>
              <w:top w:val="single" w:sz="4" w:space="0" w:color="auto"/>
              <w:lef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18,7</w:t>
            </w:r>
          </w:p>
        </w:tc>
        <w:tc>
          <w:tcPr>
            <w:tcW w:w="616" w:type="dxa"/>
            <w:tcBorders>
              <w:top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16,7</w:t>
            </w:r>
          </w:p>
        </w:tc>
        <w:tc>
          <w:tcPr>
            <w:tcW w:w="794" w:type="dxa"/>
            <w:tcBorders>
              <w:top w:val="single" w:sz="4" w:space="0" w:color="auto"/>
              <w:righ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0,9</w:t>
            </w:r>
          </w:p>
        </w:tc>
        <w:tc>
          <w:tcPr>
            <w:tcW w:w="959" w:type="dxa"/>
            <w:tcBorders>
              <w:top w:val="single" w:sz="4" w:space="0" w:color="auto"/>
              <w:lef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0,9</w:t>
            </w:r>
          </w:p>
        </w:tc>
        <w:tc>
          <w:tcPr>
            <w:tcW w:w="705" w:type="dxa"/>
            <w:tcBorders>
              <w:top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1,4</w:t>
            </w:r>
          </w:p>
        </w:tc>
        <w:tc>
          <w:tcPr>
            <w:tcW w:w="746" w:type="dxa"/>
            <w:tcBorders>
              <w:top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1,5</w:t>
            </w:r>
          </w:p>
        </w:tc>
      </w:tr>
      <w:tr w:rsidR="001D5CF1" w:rsidRPr="0071582C" w:rsidTr="007B488D">
        <w:trPr>
          <w:trHeight w:val="300"/>
        </w:trPr>
        <w:tc>
          <w:tcPr>
            <w:tcW w:w="1105" w:type="dxa"/>
            <w:tcBorders>
              <w:bottom w:val="nil"/>
              <w:right w:val="single" w:sz="4" w:space="0" w:color="auto"/>
            </w:tcBorders>
            <w:noWrap/>
            <w:hideMark/>
          </w:tcPr>
          <w:p w:rsidR="001D5CF1" w:rsidRPr="0071582C" w:rsidRDefault="001D5CF1" w:rsidP="007B488D">
            <w:pPr>
              <w:spacing w:line="276" w:lineRule="auto"/>
              <w:rPr>
                <w:rFonts w:ascii="Times New Roman" w:hAnsi="Times New Roman" w:cs="Times New Roman"/>
                <w:sz w:val="20"/>
                <w:szCs w:val="20"/>
              </w:rPr>
            </w:pPr>
            <w:proofErr w:type="spellStart"/>
            <w:r w:rsidRPr="0071582C">
              <w:rPr>
                <w:rFonts w:ascii="Times New Roman" w:hAnsi="Times New Roman" w:cs="Times New Roman"/>
                <w:sz w:val="20"/>
                <w:szCs w:val="20"/>
              </w:rPr>
              <w:t>Słowenia</w:t>
            </w:r>
            <w:proofErr w:type="spellEnd"/>
          </w:p>
        </w:tc>
        <w:tc>
          <w:tcPr>
            <w:tcW w:w="1140" w:type="dxa"/>
            <w:tcBorders>
              <w:left w:val="single" w:sz="4" w:space="0" w:color="auto"/>
              <w:bottom w:val="nil"/>
              <w:righ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47,6</w:t>
            </w:r>
          </w:p>
        </w:tc>
        <w:tc>
          <w:tcPr>
            <w:tcW w:w="706" w:type="dxa"/>
            <w:tcBorders>
              <w:left w:val="single" w:sz="4" w:space="0" w:color="auto"/>
              <w:bottom w:val="nil"/>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26,1</w:t>
            </w:r>
          </w:p>
        </w:tc>
        <w:tc>
          <w:tcPr>
            <w:tcW w:w="616" w:type="dxa"/>
            <w:tcBorders>
              <w:bottom w:val="nil"/>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16,1</w:t>
            </w:r>
          </w:p>
        </w:tc>
        <w:tc>
          <w:tcPr>
            <w:tcW w:w="794" w:type="dxa"/>
            <w:tcBorders>
              <w:bottom w:val="nil"/>
              <w:righ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0,6</w:t>
            </w:r>
          </w:p>
        </w:tc>
        <w:tc>
          <w:tcPr>
            <w:tcW w:w="959" w:type="dxa"/>
            <w:tcBorders>
              <w:left w:val="single" w:sz="4" w:space="0" w:color="auto"/>
              <w:bottom w:val="nil"/>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-3,7</w:t>
            </w:r>
          </w:p>
        </w:tc>
        <w:tc>
          <w:tcPr>
            <w:tcW w:w="705" w:type="dxa"/>
            <w:tcBorders>
              <w:bottom w:val="nil"/>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13,7</w:t>
            </w:r>
          </w:p>
        </w:tc>
        <w:tc>
          <w:tcPr>
            <w:tcW w:w="746" w:type="dxa"/>
            <w:tcBorders>
              <w:bottom w:val="nil"/>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-3,7</w:t>
            </w:r>
          </w:p>
        </w:tc>
      </w:tr>
      <w:tr w:rsidR="001D5CF1" w:rsidRPr="0071582C" w:rsidTr="007B488D">
        <w:trPr>
          <w:trHeight w:val="315"/>
        </w:trPr>
        <w:tc>
          <w:tcPr>
            <w:tcW w:w="1105" w:type="dxa"/>
            <w:tcBorders>
              <w:top w:val="nil"/>
              <w:bottom w:val="single" w:sz="4" w:space="0" w:color="auto"/>
              <w:right w:val="single" w:sz="4" w:space="0" w:color="auto"/>
            </w:tcBorders>
            <w:noWrap/>
            <w:hideMark/>
          </w:tcPr>
          <w:p w:rsidR="001D5CF1" w:rsidRPr="0071582C" w:rsidRDefault="001D5CF1" w:rsidP="007B488D">
            <w:pPr>
              <w:spacing w:line="276" w:lineRule="auto"/>
              <w:rPr>
                <w:rFonts w:ascii="Times New Roman" w:hAnsi="Times New Roman" w:cs="Times New Roman"/>
                <w:sz w:val="20"/>
                <w:szCs w:val="20"/>
              </w:rPr>
            </w:pPr>
            <w:proofErr w:type="spellStart"/>
            <w:r w:rsidRPr="0071582C">
              <w:rPr>
                <w:rFonts w:ascii="Times New Roman" w:hAnsi="Times New Roman" w:cs="Times New Roman"/>
                <w:sz w:val="20"/>
                <w:szCs w:val="20"/>
              </w:rPr>
              <w:t>Chorwacja</w:t>
            </w:r>
            <w:proofErr w:type="spellEnd"/>
          </w:p>
        </w:tc>
        <w:tc>
          <w:tcPr>
            <w:tcW w:w="1140" w:type="dxa"/>
            <w:tcBorders>
              <w:top w:val="nil"/>
              <w:left w:val="single" w:sz="4" w:space="0" w:color="auto"/>
              <w:bottom w:val="single" w:sz="4" w:space="0" w:color="auto"/>
              <w:righ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46,8</w:t>
            </w:r>
          </w:p>
        </w:tc>
        <w:tc>
          <w:tcPr>
            <w:tcW w:w="706" w:type="dxa"/>
            <w:tcBorders>
              <w:top w:val="nil"/>
              <w:left w:val="single" w:sz="4" w:space="0" w:color="auto"/>
              <w:bottom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26,1</w:t>
            </w:r>
          </w:p>
        </w:tc>
        <w:tc>
          <w:tcPr>
            <w:tcW w:w="616" w:type="dxa"/>
            <w:tcBorders>
              <w:top w:val="nil"/>
              <w:bottom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18,3</w:t>
            </w:r>
          </w:p>
        </w:tc>
        <w:tc>
          <w:tcPr>
            <w:tcW w:w="794" w:type="dxa"/>
            <w:tcBorders>
              <w:top w:val="nil"/>
              <w:bottom w:val="single" w:sz="4" w:space="0" w:color="auto"/>
              <w:righ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0,7</w:t>
            </w:r>
          </w:p>
        </w:tc>
        <w:tc>
          <w:tcPr>
            <w:tcW w:w="959" w:type="dxa"/>
            <w:tcBorders>
              <w:top w:val="nil"/>
              <w:left w:val="single" w:sz="4" w:space="0" w:color="auto"/>
              <w:bottom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-10,8</w:t>
            </w:r>
          </w:p>
        </w:tc>
        <w:tc>
          <w:tcPr>
            <w:tcW w:w="705" w:type="dxa"/>
            <w:tcBorders>
              <w:top w:val="nil"/>
              <w:bottom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-4,1</w:t>
            </w:r>
          </w:p>
        </w:tc>
        <w:tc>
          <w:tcPr>
            <w:tcW w:w="746" w:type="dxa"/>
            <w:tcBorders>
              <w:top w:val="nil"/>
              <w:bottom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0,4</w:t>
            </w:r>
          </w:p>
        </w:tc>
      </w:tr>
      <w:tr w:rsidR="001D5CF1" w:rsidRPr="004D5D16" w:rsidTr="007B488D">
        <w:trPr>
          <w:trHeight w:val="300"/>
        </w:trPr>
        <w:tc>
          <w:tcPr>
            <w:tcW w:w="1105" w:type="dxa"/>
            <w:tcBorders>
              <w:top w:val="single" w:sz="4" w:space="0" w:color="auto"/>
              <w:right w:val="single" w:sz="4" w:space="0" w:color="auto"/>
            </w:tcBorders>
            <w:noWrap/>
            <w:hideMark/>
          </w:tcPr>
          <w:p w:rsidR="001D5CF1" w:rsidRPr="004D5D16" w:rsidRDefault="001D5CF1" w:rsidP="007B488D">
            <w:pPr>
              <w:spacing w:line="276" w:lineRule="auto"/>
              <w:rPr>
                <w:rFonts w:ascii="Times New Roman" w:hAnsi="Times New Roman" w:cs="Times New Roman"/>
                <w:b/>
                <w:sz w:val="20"/>
                <w:szCs w:val="20"/>
              </w:rPr>
            </w:pPr>
            <w:proofErr w:type="spellStart"/>
            <w:r w:rsidRPr="004D5D16">
              <w:rPr>
                <w:rFonts w:ascii="Times New Roman" w:hAnsi="Times New Roman" w:cs="Times New Roman"/>
                <w:b/>
                <w:sz w:val="20"/>
                <w:szCs w:val="20"/>
              </w:rPr>
              <w:t>Polska</w:t>
            </w:r>
            <w:proofErr w:type="spellEnd"/>
          </w:p>
        </w:tc>
        <w:tc>
          <w:tcPr>
            <w:tcW w:w="1140" w:type="dxa"/>
            <w:tcBorders>
              <w:top w:val="single" w:sz="4" w:space="0" w:color="auto"/>
              <w:left w:val="single" w:sz="4" w:space="0" w:color="auto"/>
              <w:right w:val="single" w:sz="4" w:space="0" w:color="auto"/>
            </w:tcBorders>
            <w:noWrap/>
            <w:hideMark/>
          </w:tcPr>
          <w:p w:rsidR="001D5CF1" w:rsidRPr="004D5D16" w:rsidRDefault="001D5CF1" w:rsidP="007B488D">
            <w:pPr>
              <w:spacing w:line="276" w:lineRule="auto"/>
              <w:jc w:val="center"/>
              <w:rPr>
                <w:rFonts w:ascii="Times New Roman" w:hAnsi="Times New Roman" w:cs="Times New Roman"/>
                <w:b/>
                <w:sz w:val="20"/>
                <w:szCs w:val="20"/>
              </w:rPr>
            </w:pPr>
            <w:r w:rsidRPr="004D5D16">
              <w:rPr>
                <w:rFonts w:ascii="Times New Roman" w:hAnsi="Times New Roman" w:cs="Times New Roman"/>
                <w:b/>
                <w:sz w:val="20"/>
                <w:szCs w:val="20"/>
              </w:rPr>
              <w:t>44,0</w:t>
            </w:r>
          </w:p>
        </w:tc>
        <w:tc>
          <w:tcPr>
            <w:tcW w:w="706" w:type="dxa"/>
            <w:tcBorders>
              <w:top w:val="single" w:sz="4" w:space="0" w:color="auto"/>
              <w:left w:val="single" w:sz="4" w:space="0" w:color="auto"/>
            </w:tcBorders>
            <w:noWrap/>
            <w:hideMark/>
          </w:tcPr>
          <w:p w:rsidR="001D5CF1" w:rsidRPr="004D5D16" w:rsidRDefault="001D5CF1" w:rsidP="007B488D">
            <w:pPr>
              <w:spacing w:line="276" w:lineRule="auto"/>
              <w:jc w:val="center"/>
              <w:rPr>
                <w:rFonts w:ascii="Times New Roman" w:hAnsi="Times New Roman" w:cs="Times New Roman"/>
                <w:b/>
                <w:sz w:val="20"/>
                <w:szCs w:val="20"/>
              </w:rPr>
            </w:pPr>
            <w:r w:rsidRPr="004D5D16">
              <w:rPr>
                <w:rFonts w:ascii="Times New Roman" w:hAnsi="Times New Roman" w:cs="Times New Roman"/>
                <w:b/>
                <w:sz w:val="20"/>
                <w:szCs w:val="20"/>
              </w:rPr>
              <w:t>28,1</w:t>
            </w:r>
          </w:p>
        </w:tc>
        <w:tc>
          <w:tcPr>
            <w:tcW w:w="616" w:type="dxa"/>
            <w:tcBorders>
              <w:top w:val="single" w:sz="4" w:space="0" w:color="auto"/>
            </w:tcBorders>
            <w:noWrap/>
            <w:hideMark/>
          </w:tcPr>
          <w:p w:rsidR="001D5CF1" w:rsidRPr="004D5D16" w:rsidRDefault="001D5CF1" w:rsidP="007B488D">
            <w:pPr>
              <w:spacing w:line="276" w:lineRule="auto"/>
              <w:jc w:val="center"/>
              <w:rPr>
                <w:rFonts w:ascii="Times New Roman" w:hAnsi="Times New Roman" w:cs="Times New Roman"/>
                <w:b/>
                <w:sz w:val="20"/>
                <w:szCs w:val="20"/>
              </w:rPr>
            </w:pPr>
            <w:r w:rsidRPr="004D5D16">
              <w:rPr>
                <w:rFonts w:ascii="Times New Roman" w:hAnsi="Times New Roman" w:cs="Times New Roman"/>
                <w:b/>
                <w:sz w:val="20"/>
                <w:szCs w:val="20"/>
              </w:rPr>
              <w:t>21,7</w:t>
            </w:r>
          </w:p>
        </w:tc>
        <w:tc>
          <w:tcPr>
            <w:tcW w:w="794" w:type="dxa"/>
            <w:tcBorders>
              <w:top w:val="single" w:sz="4" w:space="0" w:color="auto"/>
              <w:right w:val="single" w:sz="4" w:space="0" w:color="auto"/>
            </w:tcBorders>
            <w:noWrap/>
            <w:hideMark/>
          </w:tcPr>
          <w:p w:rsidR="001D5CF1" w:rsidRPr="004D5D16" w:rsidRDefault="001D5CF1" w:rsidP="007B488D">
            <w:pPr>
              <w:spacing w:line="276" w:lineRule="auto"/>
              <w:jc w:val="center"/>
              <w:rPr>
                <w:rFonts w:ascii="Times New Roman" w:hAnsi="Times New Roman" w:cs="Times New Roman"/>
                <w:b/>
                <w:sz w:val="20"/>
                <w:szCs w:val="20"/>
              </w:rPr>
            </w:pPr>
            <w:r w:rsidRPr="004D5D16">
              <w:rPr>
                <w:rFonts w:ascii="Times New Roman" w:hAnsi="Times New Roman" w:cs="Times New Roman"/>
                <w:b/>
                <w:sz w:val="20"/>
                <w:szCs w:val="20"/>
              </w:rPr>
              <w:t>0,8</w:t>
            </w:r>
          </w:p>
        </w:tc>
        <w:tc>
          <w:tcPr>
            <w:tcW w:w="959" w:type="dxa"/>
            <w:tcBorders>
              <w:top w:val="single" w:sz="4" w:space="0" w:color="auto"/>
              <w:left w:val="single" w:sz="4" w:space="0" w:color="auto"/>
            </w:tcBorders>
            <w:noWrap/>
            <w:hideMark/>
          </w:tcPr>
          <w:p w:rsidR="001D5CF1" w:rsidRPr="004D5D16" w:rsidRDefault="001D5CF1" w:rsidP="007B488D">
            <w:pPr>
              <w:spacing w:line="276" w:lineRule="auto"/>
              <w:jc w:val="center"/>
              <w:rPr>
                <w:rFonts w:ascii="Times New Roman" w:hAnsi="Times New Roman" w:cs="Times New Roman"/>
                <w:b/>
                <w:sz w:val="20"/>
                <w:szCs w:val="20"/>
              </w:rPr>
            </w:pPr>
            <w:r w:rsidRPr="004D5D16">
              <w:rPr>
                <w:rFonts w:ascii="Times New Roman" w:hAnsi="Times New Roman" w:cs="Times New Roman"/>
                <w:b/>
                <w:sz w:val="20"/>
                <w:szCs w:val="20"/>
              </w:rPr>
              <w:t>24,1</w:t>
            </w:r>
          </w:p>
        </w:tc>
        <w:tc>
          <w:tcPr>
            <w:tcW w:w="705" w:type="dxa"/>
            <w:tcBorders>
              <w:top w:val="single" w:sz="4" w:space="0" w:color="auto"/>
            </w:tcBorders>
            <w:noWrap/>
            <w:hideMark/>
          </w:tcPr>
          <w:p w:rsidR="001D5CF1" w:rsidRPr="004D5D16" w:rsidRDefault="001D5CF1" w:rsidP="007B488D">
            <w:pPr>
              <w:spacing w:line="276" w:lineRule="auto"/>
              <w:jc w:val="center"/>
              <w:rPr>
                <w:rFonts w:ascii="Times New Roman" w:hAnsi="Times New Roman" w:cs="Times New Roman"/>
                <w:b/>
                <w:sz w:val="20"/>
                <w:szCs w:val="20"/>
              </w:rPr>
            </w:pPr>
            <w:r w:rsidRPr="004D5D16">
              <w:rPr>
                <w:rFonts w:ascii="Times New Roman" w:hAnsi="Times New Roman" w:cs="Times New Roman"/>
                <w:b/>
                <w:sz w:val="20"/>
                <w:szCs w:val="20"/>
              </w:rPr>
              <w:t>21,5</w:t>
            </w:r>
          </w:p>
        </w:tc>
        <w:tc>
          <w:tcPr>
            <w:tcW w:w="746" w:type="dxa"/>
            <w:tcBorders>
              <w:top w:val="single" w:sz="4" w:space="0" w:color="auto"/>
            </w:tcBorders>
            <w:noWrap/>
            <w:hideMark/>
          </w:tcPr>
          <w:p w:rsidR="001D5CF1" w:rsidRPr="004D5D16" w:rsidRDefault="001D5CF1" w:rsidP="007B488D">
            <w:pPr>
              <w:spacing w:line="276" w:lineRule="auto"/>
              <w:jc w:val="center"/>
              <w:rPr>
                <w:rFonts w:ascii="Times New Roman" w:hAnsi="Times New Roman" w:cs="Times New Roman"/>
                <w:b/>
                <w:sz w:val="20"/>
                <w:szCs w:val="20"/>
              </w:rPr>
            </w:pPr>
            <w:r w:rsidRPr="004D5D16">
              <w:rPr>
                <w:rFonts w:ascii="Times New Roman" w:hAnsi="Times New Roman" w:cs="Times New Roman"/>
                <w:b/>
                <w:sz w:val="20"/>
                <w:szCs w:val="20"/>
              </w:rPr>
              <w:t>0,9</w:t>
            </w:r>
          </w:p>
        </w:tc>
      </w:tr>
      <w:tr w:rsidR="001D5CF1" w:rsidRPr="0071582C" w:rsidTr="007B488D">
        <w:trPr>
          <w:trHeight w:val="300"/>
        </w:trPr>
        <w:tc>
          <w:tcPr>
            <w:tcW w:w="1105" w:type="dxa"/>
            <w:tcBorders>
              <w:bottom w:val="nil"/>
              <w:right w:val="single" w:sz="4" w:space="0" w:color="auto"/>
            </w:tcBorders>
            <w:noWrap/>
            <w:hideMark/>
          </w:tcPr>
          <w:p w:rsidR="001D5CF1" w:rsidRPr="0071582C" w:rsidRDefault="001D5CF1" w:rsidP="007B488D">
            <w:pPr>
              <w:spacing w:line="276" w:lineRule="auto"/>
              <w:rPr>
                <w:rFonts w:ascii="Times New Roman" w:hAnsi="Times New Roman" w:cs="Times New Roman"/>
                <w:sz w:val="20"/>
                <w:szCs w:val="20"/>
              </w:rPr>
            </w:pPr>
            <w:proofErr w:type="spellStart"/>
            <w:r w:rsidRPr="0071582C">
              <w:rPr>
                <w:rFonts w:ascii="Times New Roman" w:hAnsi="Times New Roman" w:cs="Times New Roman"/>
                <w:sz w:val="20"/>
                <w:szCs w:val="20"/>
              </w:rPr>
              <w:t>Czechy</w:t>
            </w:r>
            <w:proofErr w:type="spellEnd"/>
          </w:p>
        </w:tc>
        <w:tc>
          <w:tcPr>
            <w:tcW w:w="1140" w:type="dxa"/>
            <w:tcBorders>
              <w:left w:val="single" w:sz="4" w:space="0" w:color="auto"/>
              <w:bottom w:val="nil"/>
              <w:righ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42,8</w:t>
            </w:r>
          </w:p>
        </w:tc>
        <w:tc>
          <w:tcPr>
            <w:tcW w:w="706" w:type="dxa"/>
            <w:tcBorders>
              <w:left w:val="single" w:sz="4" w:space="0" w:color="auto"/>
              <w:bottom w:val="nil"/>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30,5</w:t>
            </w:r>
          </w:p>
        </w:tc>
        <w:tc>
          <w:tcPr>
            <w:tcW w:w="616" w:type="dxa"/>
            <w:tcBorders>
              <w:bottom w:val="nil"/>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17,7</w:t>
            </w:r>
          </w:p>
        </w:tc>
        <w:tc>
          <w:tcPr>
            <w:tcW w:w="794" w:type="dxa"/>
            <w:tcBorders>
              <w:bottom w:val="nil"/>
              <w:righ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0,6</w:t>
            </w:r>
          </w:p>
        </w:tc>
        <w:tc>
          <w:tcPr>
            <w:tcW w:w="959" w:type="dxa"/>
            <w:tcBorders>
              <w:left w:val="single" w:sz="4" w:space="0" w:color="auto"/>
              <w:bottom w:val="nil"/>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3,4</w:t>
            </w:r>
          </w:p>
        </w:tc>
        <w:tc>
          <w:tcPr>
            <w:tcW w:w="705" w:type="dxa"/>
            <w:tcBorders>
              <w:bottom w:val="nil"/>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8,8</w:t>
            </w:r>
          </w:p>
        </w:tc>
        <w:tc>
          <w:tcPr>
            <w:tcW w:w="746" w:type="dxa"/>
            <w:tcBorders>
              <w:bottom w:val="nil"/>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2,6</w:t>
            </w:r>
          </w:p>
        </w:tc>
      </w:tr>
      <w:tr w:rsidR="001D5CF1" w:rsidRPr="0071582C" w:rsidTr="007B488D">
        <w:trPr>
          <w:trHeight w:val="315"/>
        </w:trPr>
        <w:tc>
          <w:tcPr>
            <w:tcW w:w="1105" w:type="dxa"/>
            <w:tcBorders>
              <w:top w:val="nil"/>
              <w:bottom w:val="single" w:sz="4" w:space="0" w:color="auto"/>
              <w:right w:val="single" w:sz="4" w:space="0" w:color="auto"/>
            </w:tcBorders>
            <w:noWrap/>
            <w:hideMark/>
          </w:tcPr>
          <w:p w:rsidR="001D5CF1" w:rsidRPr="0071582C" w:rsidRDefault="001D5CF1" w:rsidP="007B488D">
            <w:pPr>
              <w:spacing w:line="276" w:lineRule="auto"/>
              <w:rPr>
                <w:rFonts w:ascii="Times New Roman" w:hAnsi="Times New Roman" w:cs="Times New Roman"/>
                <w:sz w:val="20"/>
                <w:szCs w:val="20"/>
              </w:rPr>
            </w:pPr>
            <w:proofErr w:type="spellStart"/>
            <w:r w:rsidRPr="0071582C">
              <w:rPr>
                <w:rFonts w:ascii="Times New Roman" w:hAnsi="Times New Roman" w:cs="Times New Roman"/>
                <w:sz w:val="20"/>
                <w:szCs w:val="20"/>
              </w:rPr>
              <w:t>Słowacja</w:t>
            </w:r>
            <w:proofErr w:type="spellEnd"/>
          </w:p>
        </w:tc>
        <w:tc>
          <w:tcPr>
            <w:tcW w:w="1140" w:type="dxa"/>
            <w:tcBorders>
              <w:top w:val="nil"/>
              <w:left w:val="single" w:sz="4" w:space="0" w:color="auto"/>
              <w:bottom w:val="single" w:sz="4" w:space="0" w:color="auto"/>
              <w:righ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40,1</w:t>
            </w:r>
          </w:p>
        </w:tc>
        <w:tc>
          <w:tcPr>
            <w:tcW w:w="706" w:type="dxa"/>
            <w:tcBorders>
              <w:top w:val="nil"/>
              <w:left w:val="single" w:sz="4" w:space="0" w:color="auto"/>
              <w:bottom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42,3</w:t>
            </w:r>
          </w:p>
        </w:tc>
        <w:tc>
          <w:tcPr>
            <w:tcW w:w="616" w:type="dxa"/>
            <w:tcBorders>
              <w:top w:val="nil"/>
              <w:bottom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13,6</w:t>
            </w:r>
          </w:p>
        </w:tc>
        <w:tc>
          <w:tcPr>
            <w:tcW w:w="794" w:type="dxa"/>
            <w:tcBorders>
              <w:top w:val="nil"/>
              <w:bottom w:val="single" w:sz="4" w:space="0" w:color="auto"/>
              <w:righ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0,3</w:t>
            </w:r>
          </w:p>
        </w:tc>
        <w:tc>
          <w:tcPr>
            <w:tcW w:w="959" w:type="dxa"/>
            <w:tcBorders>
              <w:top w:val="nil"/>
              <w:left w:val="single" w:sz="4" w:space="0" w:color="auto"/>
              <w:bottom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14,2</w:t>
            </w:r>
          </w:p>
        </w:tc>
        <w:tc>
          <w:tcPr>
            <w:tcW w:w="705" w:type="dxa"/>
            <w:tcBorders>
              <w:top w:val="nil"/>
              <w:bottom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31,3</w:t>
            </w:r>
          </w:p>
        </w:tc>
        <w:tc>
          <w:tcPr>
            <w:tcW w:w="746" w:type="dxa"/>
            <w:tcBorders>
              <w:top w:val="nil"/>
              <w:bottom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2,2</w:t>
            </w:r>
          </w:p>
        </w:tc>
      </w:tr>
      <w:tr w:rsidR="001D5CF1" w:rsidRPr="0071582C" w:rsidTr="007B488D">
        <w:trPr>
          <w:trHeight w:val="300"/>
        </w:trPr>
        <w:tc>
          <w:tcPr>
            <w:tcW w:w="1105" w:type="dxa"/>
            <w:tcBorders>
              <w:top w:val="single" w:sz="4" w:space="0" w:color="auto"/>
              <w:right w:val="single" w:sz="4" w:space="0" w:color="auto"/>
            </w:tcBorders>
            <w:noWrap/>
            <w:hideMark/>
          </w:tcPr>
          <w:p w:rsidR="001D5CF1" w:rsidRPr="0071582C" w:rsidRDefault="001D5CF1" w:rsidP="007B488D">
            <w:pPr>
              <w:spacing w:line="276" w:lineRule="auto"/>
              <w:rPr>
                <w:rFonts w:ascii="Times New Roman" w:hAnsi="Times New Roman" w:cs="Times New Roman"/>
                <w:sz w:val="20"/>
                <w:szCs w:val="20"/>
              </w:rPr>
            </w:pPr>
            <w:r w:rsidRPr="0071582C">
              <w:rPr>
                <w:rFonts w:ascii="Times New Roman" w:hAnsi="Times New Roman" w:cs="Times New Roman"/>
                <w:sz w:val="20"/>
                <w:szCs w:val="20"/>
              </w:rPr>
              <w:t>Estonia</w:t>
            </w:r>
          </w:p>
        </w:tc>
        <w:tc>
          <w:tcPr>
            <w:tcW w:w="1140" w:type="dxa"/>
            <w:tcBorders>
              <w:top w:val="single" w:sz="4" w:space="0" w:color="auto"/>
              <w:left w:val="single" w:sz="4" w:space="0" w:color="auto"/>
              <w:righ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37,5</w:t>
            </w:r>
          </w:p>
        </w:tc>
        <w:tc>
          <w:tcPr>
            <w:tcW w:w="706" w:type="dxa"/>
            <w:tcBorders>
              <w:top w:val="single" w:sz="4" w:space="0" w:color="auto"/>
              <w:lef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48,4</w:t>
            </w:r>
          </w:p>
        </w:tc>
        <w:tc>
          <w:tcPr>
            <w:tcW w:w="616" w:type="dxa"/>
            <w:tcBorders>
              <w:top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40,1</w:t>
            </w:r>
          </w:p>
        </w:tc>
        <w:tc>
          <w:tcPr>
            <w:tcW w:w="794" w:type="dxa"/>
            <w:tcBorders>
              <w:top w:val="single" w:sz="4" w:space="0" w:color="auto"/>
              <w:righ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0,8</w:t>
            </w:r>
          </w:p>
        </w:tc>
        <w:tc>
          <w:tcPr>
            <w:tcW w:w="959" w:type="dxa"/>
            <w:tcBorders>
              <w:top w:val="single" w:sz="4" w:space="0" w:color="auto"/>
              <w:lef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-3,5</w:t>
            </w:r>
          </w:p>
        </w:tc>
        <w:tc>
          <w:tcPr>
            <w:tcW w:w="705" w:type="dxa"/>
            <w:tcBorders>
              <w:top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8,7</w:t>
            </w:r>
          </w:p>
        </w:tc>
        <w:tc>
          <w:tcPr>
            <w:tcW w:w="746" w:type="dxa"/>
            <w:tcBorders>
              <w:top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-2,5</w:t>
            </w:r>
          </w:p>
        </w:tc>
      </w:tr>
      <w:tr w:rsidR="001D5CF1" w:rsidRPr="0071582C" w:rsidTr="007B488D">
        <w:trPr>
          <w:trHeight w:val="300"/>
        </w:trPr>
        <w:tc>
          <w:tcPr>
            <w:tcW w:w="1105" w:type="dxa"/>
            <w:tcBorders>
              <w:right w:val="single" w:sz="4" w:space="0" w:color="auto"/>
            </w:tcBorders>
            <w:noWrap/>
            <w:hideMark/>
          </w:tcPr>
          <w:p w:rsidR="001D5CF1" w:rsidRPr="0071582C" w:rsidRDefault="001D5CF1" w:rsidP="007B488D">
            <w:pPr>
              <w:spacing w:line="276" w:lineRule="auto"/>
              <w:rPr>
                <w:rFonts w:ascii="Times New Roman" w:hAnsi="Times New Roman" w:cs="Times New Roman"/>
                <w:sz w:val="20"/>
                <w:szCs w:val="20"/>
              </w:rPr>
            </w:pPr>
            <w:proofErr w:type="spellStart"/>
            <w:r w:rsidRPr="0071582C">
              <w:rPr>
                <w:rFonts w:ascii="Times New Roman" w:hAnsi="Times New Roman" w:cs="Times New Roman"/>
                <w:sz w:val="20"/>
                <w:szCs w:val="20"/>
              </w:rPr>
              <w:t>Bułgaria</w:t>
            </w:r>
            <w:proofErr w:type="spellEnd"/>
          </w:p>
        </w:tc>
        <w:tc>
          <w:tcPr>
            <w:tcW w:w="1140" w:type="dxa"/>
            <w:tcBorders>
              <w:left w:val="single" w:sz="4" w:space="0" w:color="auto"/>
              <w:righ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37,4</w:t>
            </w:r>
          </w:p>
        </w:tc>
        <w:tc>
          <w:tcPr>
            <w:tcW w:w="706" w:type="dxa"/>
            <w:tcBorders>
              <w:lef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37,5</w:t>
            </w:r>
          </w:p>
        </w:tc>
        <w:tc>
          <w:tcPr>
            <w:tcW w:w="616" w:type="dxa"/>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31,6</w:t>
            </w:r>
          </w:p>
        </w:tc>
        <w:tc>
          <w:tcPr>
            <w:tcW w:w="794" w:type="dxa"/>
            <w:tcBorders>
              <w:righ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0,8</w:t>
            </w:r>
          </w:p>
        </w:tc>
        <w:tc>
          <w:tcPr>
            <w:tcW w:w="959" w:type="dxa"/>
            <w:tcBorders>
              <w:lef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7,9</w:t>
            </w:r>
          </w:p>
        </w:tc>
        <w:tc>
          <w:tcPr>
            <w:tcW w:w="705" w:type="dxa"/>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20,4</w:t>
            </w:r>
          </w:p>
        </w:tc>
        <w:tc>
          <w:tcPr>
            <w:tcW w:w="746" w:type="dxa"/>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2,6</w:t>
            </w:r>
          </w:p>
        </w:tc>
      </w:tr>
      <w:tr w:rsidR="001D5CF1" w:rsidRPr="0071582C" w:rsidTr="007B488D">
        <w:trPr>
          <w:trHeight w:val="300"/>
        </w:trPr>
        <w:tc>
          <w:tcPr>
            <w:tcW w:w="1105" w:type="dxa"/>
            <w:tcBorders>
              <w:right w:val="single" w:sz="4" w:space="0" w:color="auto"/>
            </w:tcBorders>
            <w:noWrap/>
            <w:hideMark/>
          </w:tcPr>
          <w:p w:rsidR="001D5CF1" w:rsidRPr="0071582C" w:rsidRDefault="001D5CF1" w:rsidP="007B488D">
            <w:pPr>
              <w:spacing w:line="276" w:lineRule="auto"/>
              <w:rPr>
                <w:rFonts w:ascii="Times New Roman" w:hAnsi="Times New Roman" w:cs="Times New Roman"/>
                <w:sz w:val="20"/>
                <w:szCs w:val="20"/>
              </w:rPr>
            </w:pPr>
            <w:proofErr w:type="spellStart"/>
            <w:r w:rsidRPr="0071582C">
              <w:rPr>
                <w:rFonts w:ascii="Times New Roman" w:hAnsi="Times New Roman" w:cs="Times New Roman"/>
                <w:sz w:val="20"/>
                <w:szCs w:val="20"/>
              </w:rPr>
              <w:t>Łotwa</w:t>
            </w:r>
            <w:proofErr w:type="spellEnd"/>
          </w:p>
        </w:tc>
        <w:tc>
          <w:tcPr>
            <w:tcW w:w="1140" w:type="dxa"/>
            <w:tcBorders>
              <w:left w:val="single" w:sz="4" w:space="0" w:color="auto"/>
              <w:righ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37,1</w:t>
            </w:r>
          </w:p>
        </w:tc>
        <w:tc>
          <w:tcPr>
            <w:tcW w:w="706" w:type="dxa"/>
            <w:tcBorders>
              <w:lef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60,0</w:t>
            </w:r>
          </w:p>
        </w:tc>
        <w:tc>
          <w:tcPr>
            <w:tcW w:w="616" w:type="dxa"/>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54,4</w:t>
            </w:r>
          </w:p>
        </w:tc>
        <w:tc>
          <w:tcPr>
            <w:tcW w:w="794" w:type="dxa"/>
            <w:tcBorders>
              <w:righ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0,9</w:t>
            </w:r>
          </w:p>
        </w:tc>
        <w:tc>
          <w:tcPr>
            <w:tcW w:w="959" w:type="dxa"/>
            <w:tcBorders>
              <w:lef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-7,8</w:t>
            </w:r>
          </w:p>
        </w:tc>
        <w:tc>
          <w:tcPr>
            <w:tcW w:w="705" w:type="dxa"/>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-0,1</w:t>
            </w:r>
          </w:p>
        </w:tc>
        <w:tc>
          <w:tcPr>
            <w:tcW w:w="746" w:type="dxa"/>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0,0</w:t>
            </w:r>
          </w:p>
        </w:tc>
      </w:tr>
      <w:tr w:rsidR="001D5CF1" w:rsidRPr="0071582C" w:rsidTr="007B488D">
        <w:trPr>
          <w:trHeight w:val="300"/>
        </w:trPr>
        <w:tc>
          <w:tcPr>
            <w:tcW w:w="1105" w:type="dxa"/>
            <w:tcBorders>
              <w:right w:val="single" w:sz="4" w:space="0" w:color="auto"/>
            </w:tcBorders>
            <w:noWrap/>
            <w:hideMark/>
          </w:tcPr>
          <w:p w:rsidR="001D5CF1" w:rsidRPr="0071582C" w:rsidRDefault="001D5CF1" w:rsidP="007B488D">
            <w:pPr>
              <w:spacing w:line="276" w:lineRule="auto"/>
              <w:rPr>
                <w:rFonts w:ascii="Times New Roman" w:hAnsi="Times New Roman" w:cs="Times New Roman"/>
                <w:sz w:val="20"/>
                <w:szCs w:val="20"/>
              </w:rPr>
            </w:pPr>
            <w:proofErr w:type="spellStart"/>
            <w:r w:rsidRPr="0071582C">
              <w:rPr>
                <w:rFonts w:ascii="Times New Roman" w:hAnsi="Times New Roman" w:cs="Times New Roman"/>
                <w:sz w:val="20"/>
                <w:szCs w:val="20"/>
              </w:rPr>
              <w:t>Litwa</w:t>
            </w:r>
            <w:proofErr w:type="spellEnd"/>
          </w:p>
        </w:tc>
        <w:tc>
          <w:tcPr>
            <w:tcW w:w="1140" w:type="dxa"/>
            <w:tcBorders>
              <w:left w:val="single" w:sz="4" w:space="0" w:color="auto"/>
              <w:righ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37,0</w:t>
            </w:r>
          </w:p>
        </w:tc>
        <w:tc>
          <w:tcPr>
            <w:tcW w:w="706" w:type="dxa"/>
            <w:tcBorders>
              <w:lef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51,4</w:t>
            </w:r>
          </w:p>
        </w:tc>
        <w:tc>
          <w:tcPr>
            <w:tcW w:w="616" w:type="dxa"/>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51,9</w:t>
            </w:r>
          </w:p>
        </w:tc>
        <w:tc>
          <w:tcPr>
            <w:tcW w:w="794" w:type="dxa"/>
            <w:tcBorders>
              <w:righ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1,0</w:t>
            </w:r>
          </w:p>
        </w:tc>
        <w:tc>
          <w:tcPr>
            <w:tcW w:w="959" w:type="dxa"/>
            <w:tcBorders>
              <w:lef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4,8</w:t>
            </w:r>
          </w:p>
        </w:tc>
        <w:tc>
          <w:tcPr>
            <w:tcW w:w="705" w:type="dxa"/>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3,1</w:t>
            </w:r>
          </w:p>
        </w:tc>
        <w:tc>
          <w:tcPr>
            <w:tcW w:w="746" w:type="dxa"/>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0,6</w:t>
            </w:r>
          </w:p>
        </w:tc>
      </w:tr>
      <w:tr w:rsidR="001D5CF1" w:rsidRPr="0071582C" w:rsidTr="007B488D">
        <w:trPr>
          <w:trHeight w:val="315"/>
        </w:trPr>
        <w:tc>
          <w:tcPr>
            <w:tcW w:w="1105" w:type="dxa"/>
            <w:tcBorders>
              <w:bottom w:val="single" w:sz="4" w:space="0" w:color="auto"/>
              <w:right w:val="single" w:sz="4" w:space="0" w:color="auto"/>
            </w:tcBorders>
            <w:noWrap/>
            <w:hideMark/>
          </w:tcPr>
          <w:p w:rsidR="001D5CF1" w:rsidRPr="0071582C" w:rsidRDefault="001D5CF1" w:rsidP="007B488D">
            <w:pPr>
              <w:spacing w:line="276" w:lineRule="auto"/>
              <w:rPr>
                <w:rFonts w:ascii="Times New Roman" w:hAnsi="Times New Roman" w:cs="Times New Roman"/>
                <w:sz w:val="20"/>
                <w:szCs w:val="20"/>
              </w:rPr>
            </w:pPr>
            <w:proofErr w:type="spellStart"/>
            <w:r w:rsidRPr="0071582C">
              <w:rPr>
                <w:rFonts w:ascii="Times New Roman" w:hAnsi="Times New Roman" w:cs="Times New Roman"/>
                <w:sz w:val="20"/>
                <w:szCs w:val="20"/>
              </w:rPr>
              <w:t>Rumunia</w:t>
            </w:r>
            <w:proofErr w:type="spellEnd"/>
          </w:p>
        </w:tc>
        <w:tc>
          <w:tcPr>
            <w:tcW w:w="1140" w:type="dxa"/>
            <w:tcBorders>
              <w:left w:val="single" w:sz="4" w:space="0" w:color="auto"/>
              <w:bottom w:val="single" w:sz="4" w:space="0" w:color="auto"/>
              <w:righ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36,4</w:t>
            </w:r>
          </w:p>
        </w:tc>
        <w:tc>
          <w:tcPr>
            <w:tcW w:w="706" w:type="dxa"/>
            <w:tcBorders>
              <w:left w:val="single" w:sz="4" w:space="0" w:color="auto"/>
              <w:bottom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37,5</w:t>
            </w:r>
          </w:p>
        </w:tc>
        <w:tc>
          <w:tcPr>
            <w:tcW w:w="616" w:type="dxa"/>
            <w:tcBorders>
              <w:bottom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50,9</w:t>
            </w:r>
          </w:p>
        </w:tc>
        <w:tc>
          <w:tcPr>
            <w:tcW w:w="794" w:type="dxa"/>
            <w:tcBorders>
              <w:bottom w:val="single" w:sz="4" w:space="0" w:color="auto"/>
              <w:right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1,4</w:t>
            </w:r>
          </w:p>
        </w:tc>
        <w:tc>
          <w:tcPr>
            <w:tcW w:w="959" w:type="dxa"/>
            <w:tcBorders>
              <w:left w:val="single" w:sz="4" w:space="0" w:color="auto"/>
              <w:bottom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8,5</w:t>
            </w:r>
          </w:p>
        </w:tc>
        <w:tc>
          <w:tcPr>
            <w:tcW w:w="705" w:type="dxa"/>
            <w:tcBorders>
              <w:bottom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-1,2</w:t>
            </w:r>
          </w:p>
        </w:tc>
        <w:tc>
          <w:tcPr>
            <w:tcW w:w="746" w:type="dxa"/>
            <w:tcBorders>
              <w:bottom w:val="single" w:sz="4" w:space="0" w:color="auto"/>
            </w:tcBorders>
            <w:noWrap/>
            <w:hideMark/>
          </w:tcPr>
          <w:p w:rsidR="001D5CF1" w:rsidRPr="0071582C" w:rsidRDefault="001D5CF1" w:rsidP="007B488D">
            <w:pPr>
              <w:spacing w:line="276" w:lineRule="auto"/>
              <w:jc w:val="center"/>
              <w:rPr>
                <w:rFonts w:ascii="Times New Roman" w:hAnsi="Times New Roman" w:cs="Times New Roman"/>
                <w:sz w:val="20"/>
                <w:szCs w:val="20"/>
              </w:rPr>
            </w:pPr>
            <w:r w:rsidRPr="0071582C">
              <w:rPr>
                <w:rFonts w:ascii="Times New Roman" w:hAnsi="Times New Roman" w:cs="Times New Roman"/>
                <w:sz w:val="20"/>
                <w:szCs w:val="20"/>
              </w:rPr>
              <w:t>-0,1</w:t>
            </w:r>
          </w:p>
        </w:tc>
      </w:tr>
      <w:tr w:rsidR="001D5CF1" w:rsidRPr="00F43D6C" w:rsidTr="007B488D">
        <w:trPr>
          <w:trHeight w:val="315"/>
        </w:trPr>
        <w:tc>
          <w:tcPr>
            <w:tcW w:w="1105" w:type="dxa"/>
            <w:tcBorders>
              <w:top w:val="single" w:sz="4" w:space="0" w:color="auto"/>
              <w:bottom w:val="single" w:sz="4" w:space="0" w:color="auto"/>
              <w:right w:val="single" w:sz="4" w:space="0" w:color="auto"/>
            </w:tcBorders>
            <w:noWrap/>
            <w:hideMark/>
          </w:tcPr>
          <w:p w:rsidR="001D5CF1" w:rsidRPr="00F43D6C" w:rsidRDefault="001D5CF1" w:rsidP="007B488D">
            <w:pPr>
              <w:spacing w:line="276" w:lineRule="auto"/>
              <w:rPr>
                <w:rFonts w:ascii="Times New Roman" w:hAnsi="Times New Roman" w:cs="Times New Roman"/>
                <w:i/>
                <w:sz w:val="20"/>
                <w:szCs w:val="20"/>
              </w:rPr>
            </w:pPr>
            <w:proofErr w:type="spellStart"/>
            <w:r w:rsidRPr="00F43D6C">
              <w:rPr>
                <w:rFonts w:ascii="Times New Roman" w:hAnsi="Times New Roman" w:cs="Times New Roman"/>
                <w:i/>
                <w:sz w:val="20"/>
                <w:szCs w:val="20"/>
              </w:rPr>
              <w:t>średnia</w:t>
            </w:r>
            <w:proofErr w:type="spellEnd"/>
          </w:p>
        </w:tc>
        <w:tc>
          <w:tcPr>
            <w:tcW w:w="1140" w:type="dxa"/>
            <w:tcBorders>
              <w:top w:val="single" w:sz="4" w:space="0" w:color="auto"/>
              <w:left w:val="single" w:sz="4" w:space="0" w:color="auto"/>
              <w:bottom w:val="single" w:sz="4" w:space="0" w:color="auto"/>
              <w:right w:val="single" w:sz="4" w:space="0" w:color="auto"/>
            </w:tcBorders>
            <w:noWrap/>
            <w:hideMark/>
          </w:tcPr>
          <w:p w:rsidR="001D5CF1" w:rsidRPr="00F43D6C" w:rsidRDefault="001D5CF1" w:rsidP="007B488D">
            <w:pPr>
              <w:spacing w:line="276" w:lineRule="auto"/>
              <w:jc w:val="center"/>
              <w:rPr>
                <w:rFonts w:ascii="Times New Roman" w:hAnsi="Times New Roman" w:cs="Times New Roman"/>
                <w:i/>
                <w:sz w:val="20"/>
                <w:szCs w:val="20"/>
              </w:rPr>
            </w:pPr>
            <w:r w:rsidRPr="00F43D6C">
              <w:rPr>
                <w:rFonts w:ascii="Times New Roman" w:hAnsi="Times New Roman" w:cs="Times New Roman"/>
                <w:i/>
                <w:sz w:val="20"/>
                <w:szCs w:val="20"/>
              </w:rPr>
              <w:t>41,5</w:t>
            </w:r>
          </w:p>
        </w:tc>
        <w:tc>
          <w:tcPr>
            <w:tcW w:w="706" w:type="dxa"/>
            <w:tcBorders>
              <w:top w:val="single" w:sz="4" w:space="0" w:color="auto"/>
              <w:left w:val="single" w:sz="4" w:space="0" w:color="auto"/>
              <w:bottom w:val="single" w:sz="4" w:space="0" w:color="auto"/>
            </w:tcBorders>
            <w:noWrap/>
            <w:hideMark/>
          </w:tcPr>
          <w:p w:rsidR="001D5CF1" w:rsidRPr="00F43D6C" w:rsidRDefault="001D5CF1" w:rsidP="007B488D">
            <w:pPr>
              <w:spacing w:line="276" w:lineRule="auto"/>
              <w:jc w:val="center"/>
              <w:rPr>
                <w:rFonts w:ascii="Times New Roman" w:hAnsi="Times New Roman" w:cs="Times New Roman"/>
                <w:i/>
                <w:sz w:val="20"/>
                <w:szCs w:val="20"/>
              </w:rPr>
            </w:pPr>
            <w:r w:rsidRPr="00F43D6C">
              <w:rPr>
                <w:rFonts w:ascii="Times New Roman" w:hAnsi="Times New Roman" w:cs="Times New Roman"/>
                <w:i/>
                <w:sz w:val="20"/>
                <w:szCs w:val="20"/>
              </w:rPr>
              <w:t>37,0</w:t>
            </w:r>
          </w:p>
        </w:tc>
        <w:tc>
          <w:tcPr>
            <w:tcW w:w="616" w:type="dxa"/>
            <w:tcBorders>
              <w:top w:val="single" w:sz="4" w:space="0" w:color="auto"/>
              <w:bottom w:val="single" w:sz="4" w:space="0" w:color="auto"/>
            </w:tcBorders>
            <w:noWrap/>
            <w:hideMark/>
          </w:tcPr>
          <w:p w:rsidR="001D5CF1" w:rsidRPr="00F43D6C" w:rsidRDefault="001D5CF1" w:rsidP="007B488D">
            <w:pPr>
              <w:spacing w:line="276" w:lineRule="auto"/>
              <w:jc w:val="center"/>
              <w:rPr>
                <w:rFonts w:ascii="Times New Roman" w:hAnsi="Times New Roman" w:cs="Times New Roman"/>
                <w:i/>
                <w:sz w:val="20"/>
                <w:szCs w:val="20"/>
              </w:rPr>
            </w:pPr>
            <w:r w:rsidRPr="00F43D6C">
              <w:rPr>
                <w:rFonts w:ascii="Times New Roman" w:hAnsi="Times New Roman" w:cs="Times New Roman"/>
                <w:i/>
                <w:sz w:val="20"/>
                <w:szCs w:val="20"/>
              </w:rPr>
              <w:t>30,3</w:t>
            </w:r>
          </w:p>
        </w:tc>
        <w:tc>
          <w:tcPr>
            <w:tcW w:w="794" w:type="dxa"/>
            <w:tcBorders>
              <w:top w:val="single" w:sz="4" w:space="0" w:color="auto"/>
              <w:bottom w:val="single" w:sz="4" w:space="0" w:color="auto"/>
              <w:right w:val="single" w:sz="4" w:space="0" w:color="auto"/>
            </w:tcBorders>
            <w:noWrap/>
            <w:hideMark/>
          </w:tcPr>
          <w:p w:rsidR="001D5CF1" w:rsidRPr="00F43D6C" w:rsidRDefault="001D5CF1" w:rsidP="007B488D">
            <w:pPr>
              <w:spacing w:line="276" w:lineRule="auto"/>
              <w:jc w:val="center"/>
              <w:rPr>
                <w:rFonts w:ascii="Times New Roman" w:hAnsi="Times New Roman" w:cs="Times New Roman"/>
                <w:i/>
                <w:sz w:val="20"/>
                <w:szCs w:val="20"/>
              </w:rPr>
            </w:pPr>
            <w:r w:rsidRPr="00F43D6C">
              <w:rPr>
                <w:rFonts w:ascii="Times New Roman" w:hAnsi="Times New Roman" w:cs="Times New Roman"/>
                <w:i/>
                <w:sz w:val="20"/>
                <w:szCs w:val="20"/>
              </w:rPr>
              <w:t>0,8</w:t>
            </w:r>
          </w:p>
        </w:tc>
        <w:tc>
          <w:tcPr>
            <w:tcW w:w="959" w:type="dxa"/>
            <w:tcBorders>
              <w:top w:val="single" w:sz="4" w:space="0" w:color="auto"/>
              <w:left w:val="single" w:sz="4" w:space="0" w:color="auto"/>
              <w:bottom w:val="single" w:sz="4" w:space="0" w:color="auto"/>
            </w:tcBorders>
            <w:noWrap/>
            <w:hideMark/>
          </w:tcPr>
          <w:p w:rsidR="001D5CF1" w:rsidRPr="00F43D6C" w:rsidRDefault="001D5CF1" w:rsidP="007B488D">
            <w:pPr>
              <w:spacing w:line="276" w:lineRule="auto"/>
              <w:jc w:val="center"/>
              <w:rPr>
                <w:rFonts w:ascii="Times New Roman" w:hAnsi="Times New Roman" w:cs="Times New Roman"/>
                <w:i/>
                <w:sz w:val="20"/>
                <w:szCs w:val="20"/>
              </w:rPr>
            </w:pPr>
            <w:r w:rsidRPr="00F43D6C">
              <w:rPr>
                <w:rFonts w:ascii="Times New Roman" w:hAnsi="Times New Roman" w:cs="Times New Roman"/>
                <w:i/>
                <w:sz w:val="20"/>
                <w:szCs w:val="20"/>
              </w:rPr>
              <w:t>3,5</w:t>
            </w:r>
          </w:p>
        </w:tc>
        <w:tc>
          <w:tcPr>
            <w:tcW w:w="705" w:type="dxa"/>
            <w:tcBorders>
              <w:top w:val="single" w:sz="4" w:space="0" w:color="auto"/>
              <w:bottom w:val="single" w:sz="4" w:space="0" w:color="auto"/>
            </w:tcBorders>
            <w:noWrap/>
            <w:hideMark/>
          </w:tcPr>
          <w:p w:rsidR="001D5CF1" w:rsidRPr="00F43D6C" w:rsidRDefault="001D5CF1" w:rsidP="007B488D">
            <w:pPr>
              <w:spacing w:line="276" w:lineRule="auto"/>
              <w:jc w:val="center"/>
              <w:rPr>
                <w:rFonts w:ascii="Times New Roman" w:hAnsi="Times New Roman" w:cs="Times New Roman"/>
                <w:i/>
                <w:sz w:val="20"/>
                <w:szCs w:val="20"/>
              </w:rPr>
            </w:pPr>
            <w:r w:rsidRPr="00F43D6C">
              <w:rPr>
                <w:rFonts w:ascii="Times New Roman" w:hAnsi="Times New Roman" w:cs="Times New Roman"/>
                <w:i/>
                <w:sz w:val="20"/>
                <w:szCs w:val="20"/>
              </w:rPr>
              <w:t>9,4</w:t>
            </w:r>
          </w:p>
        </w:tc>
        <w:tc>
          <w:tcPr>
            <w:tcW w:w="746" w:type="dxa"/>
            <w:tcBorders>
              <w:top w:val="single" w:sz="4" w:space="0" w:color="auto"/>
              <w:bottom w:val="single" w:sz="4" w:space="0" w:color="auto"/>
            </w:tcBorders>
            <w:noWrap/>
            <w:hideMark/>
          </w:tcPr>
          <w:p w:rsidR="001D5CF1" w:rsidRPr="00F43D6C" w:rsidRDefault="001D5CF1" w:rsidP="007B488D">
            <w:pPr>
              <w:spacing w:line="276" w:lineRule="auto"/>
              <w:jc w:val="center"/>
              <w:rPr>
                <w:rFonts w:ascii="Times New Roman" w:hAnsi="Times New Roman" w:cs="Times New Roman"/>
                <w:i/>
                <w:sz w:val="20"/>
                <w:szCs w:val="20"/>
              </w:rPr>
            </w:pPr>
            <w:r w:rsidRPr="00F43D6C">
              <w:rPr>
                <w:rFonts w:ascii="Times New Roman" w:hAnsi="Times New Roman" w:cs="Times New Roman"/>
                <w:i/>
                <w:sz w:val="20"/>
                <w:szCs w:val="20"/>
              </w:rPr>
              <w:t>0,4</w:t>
            </w:r>
          </w:p>
        </w:tc>
      </w:tr>
    </w:tbl>
    <w:p w:rsidR="001D5CF1" w:rsidRDefault="001D5CF1" w:rsidP="001D5CF1">
      <w:pPr>
        <w:spacing w:line="360" w:lineRule="auto"/>
        <w:rPr>
          <w:rFonts w:ascii="Times New Roman" w:hAnsi="Times New Roman" w:cs="Times New Roman"/>
          <w:sz w:val="20"/>
          <w:szCs w:val="20"/>
          <w:lang w:val="pl-PL"/>
        </w:rPr>
      </w:pPr>
      <w:r w:rsidRPr="00A315B9">
        <w:rPr>
          <w:rFonts w:ascii="Times New Roman" w:hAnsi="Times New Roman" w:cs="Times New Roman"/>
          <w:i/>
          <w:sz w:val="20"/>
          <w:szCs w:val="20"/>
          <w:lang w:val="pl-PL"/>
        </w:rPr>
        <w:t>Źródło</w:t>
      </w:r>
      <w:r>
        <w:rPr>
          <w:rFonts w:ascii="Times New Roman" w:hAnsi="Times New Roman" w:cs="Times New Roman"/>
          <w:sz w:val="20"/>
          <w:szCs w:val="20"/>
          <w:lang w:val="pl-PL"/>
        </w:rPr>
        <w:t>: Obliczenia własne na podstawie danych z bazy EUROSTAT.</w:t>
      </w:r>
    </w:p>
    <w:p w:rsidR="00656619" w:rsidRDefault="00656619" w:rsidP="00656619">
      <w:pPr>
        <w:spacing w:after="0" w:line="360" w:lineRule="auto"/>
        <w:ind w:firstLine="720"/>
        <w:jc w:val="both"/>
        <w:rPr>
          <w:rFonts w:ascii="Times New Roman" w:hAnsi="Times New Roman" w:cs="Times New Roman"/>
          <w:sz w:val="20"/>
          <w:szCs w:val="24"/>
          <w:lang w:val="pl-PL"/>
        </w:rPr>
      </w:pPr>
      <w:r>
        <w:rPr>
          <w:rFonts w:ascii="Times New Roman" w:hAnsi="Times New Roman" w:cs="Times New Roman"/>
          <w:sz w:val="24"/>
          <w:szCs w:val="24"/>
          <w:lang w:val="pl-PL"/>
        </w:rPr>
        <w:t>W krajach ESW</w:t>
      </w:r>
      <w:r w:rsidR="003A2722">
        <w:rPr>
          <w:rFonts w:ascii="Times New Roman" w:hAnsi="Times New Roman" w:cs="Times New Roman"/>
          <w:sz w:val="24"/>
          <w:szCs w:val="24"/>
          <w:lang w:val="pl-PL"/>
        </w:rPr>
        <w:t>11</w:t>
      </w:r>
      <w:r>
        <w:rPr>
          <w:rFonts w:ascii="Times New Roman" w:hAnsi="Times New Roman" w:cs="Times New Roman"/>
          <w:sz w:val="24"/>
          <w:szCs w:val="24"/>
          <w:lang w:val="pl-PL"/>
        </w:rPr>
        <w:t xml:space="preserve"> poziom fiskalizmu w badanym okresie, mierzony wartością wydatków publicznych w relacji </w:t>
      </w:r>
      <w:r w:rsidR="0071582C">
        <w:rPr>
          <w:rFonts w:ascii="Times New Roman" w:hAnsi="Times New Roman" w:cs="Times New Roman"/>
          <w:sz w:val="24"/>
          <w:szCs w:val="24"/>
          <w:lang w:val="pl-PL"/>
        </w:rPr>
        <w:t>do PKB, był silnie zróżnicowany (tab.1)</w:t>
      </w:r>
      <w:r>
        <w:rPr>
          <w:rFonts w:ascii="Times New Roman" w:hAnsi="Times New Roman" w:cs="Times New Roman"/>
          <w:sz w:val="24"/>
          <w:szCs w:val="24"/>
          <w:lang w:val="pl-PL"/>
        </w:rPr>
        <w:t>. Wydatki publiczne utrzymywane były na najniższym poziomie w krajach bałtyckich oraz w Bułgarii i Rumunii (około 37%), najwyższy poziom osiągając na Węgrzech (50%), w Słowenii (48%) i Chorwacji (47%). Polskę, która w okresie 2002-2014 utrzymywała wydatki publiczne na poziomie około 44%</w:t>
      </w:r>
      <w:r w:rsidR="00CD5646">
        <w:rPr>
          <w:rFonts w:ascii="Times New Roman" w:hAnsi="Times New Roman" w:cs="Times New Roman"/>
          <w:sz w:val="24"/>
          <w:szCs w:val="24"/>
          <w:lang w:val="pl-PL"/>
        </w:rPr>
        <w:t xml:space="preserve"> PKB</w:t>
      </w:r>
      <w:r>
        <w:rPr>
          <w:rFonts w:ascii="Times New Roman" w:hAnsi="Times New Roman" w:cs="Times New Roman"/>
          <w:sz w:val="24"/>
          <w:szCs w:val="24"/>
          <w:lang w:val="pl-PL"/>
        </w:rPr>
        <w:t xml:space="preserve">, można zaliczyć do krajów o średnim poziomie fiskalizmu. Pomimo zmian w wysokości wydatków publicznych, przynależność krajów do grup była stabilna (jedynie Słowacja silnie ograniczyła wydatki w porównaniu z okresami początkowymi, przesuwając się z grupy o wysokim poziomie wydatków do grupy </w:t>
      </w:r>
      <w:r w:rsidR="003A2722">
        <w:rPr>
          <w:rFonts w:ascii="Times New Roman" w:hAnsi="Times New Roman" w:cs="Times New Roman"/>
          <w:sz w:val="24"/>
          <w:szCs w:val="24"/>
          <w:lang w:val="pl-PL"/>
        </w:rPr>
        <w:t>średniej</w:t>
      </w:r>
      <w:r w:rsidRPr="003A2722">
        <w:rPr>
          <w:rFonts w:ascii="Times New Roman" w:hAnsi="Times New Roman" w:cs="Times New Roman"/>
          <w:sz w:val="24"/>
          <w:szCs w:val="24"/>
          <w:lang w:val="pl-PL"/>
        </w:rPr>
        <w:t>.</w:t>
      </w:r>
    </w:p>
    <w:p w:rsidR="00DD1332" w:rsidRDefault="00F43D6C" w:rsidP="000E250E">
      <w:pPr>
        <w:spacing w:line="360" w:lineRule="auto"/>
        <w:ind w:firstLine="851"/>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Zmiany w obszarze wydatków publicznych są silnie związane z sytuacją makroekonomiczną: z jednej strony dobra koniunktura gospodarcza, przekładająca się na wyższe dochody podatkowe umożliwia zwiększenie wydatków publicznych, z drugiej zaś podnoszenie wydatków publicznych może być wykorzystywane do stabilizowania i stymulowania wzrostu gospodarczego, szczególnie w perspektywie krótkookresowej (proces dostosowawczy). </w:t>
      </w:r>
      <w:r w:rsidR="005635CE">
        <w:rPr>
          <w:rFonts w:ascii="Times New Roman" w:hAnsi="Times New Roman" w:cs="Times New Roman"/>
          <w:sz w:val="24"/>
          <w:szCs w:val="24"/>
          <w:lang w:val="pl-PL"/>
        </w:rPr>
        <w:t xml:space="preserve">Aby uwzględnić niejednorodność okresu badawczego, został on </w:t>
      </w:r>
      <w:r w:rsidR="005635CE">
        <w:rPr>
          <w:rFonts w:ascii="Times New Roman" w:hAnsi="Times New Roman" w:cs="Times New Roman"/>
          <w:sz w:val="24"/>
          <w:szCs w:val="24"/>
          <w:lang w:val="pl-PL"/>
        </w:rPr>
        <w:lastRenderedPageBreak/>
        <w:t>rozbity na dwa podokresy, okres poprzedzający kryzys (2002-2007) oraz okres naznaczony wpływem kryzysu gospodarczego (2008-2014)</w:t>
      </w:r>
      <w:r>
        <w:rPr>
          <w:rFonts w:ascii="Times New Roman" w:hAnsi="Times New Roman" w:cs="Times New Roman"/>
          <w:sz w:val="24"/>
          <w:szCs w:val="24"/>
          <w:lang w:val="pl-PL"/>
        </w:rPr>
        <w:t>. Realne stopy wzrostu PKB oraz wydatków publicznych (WP), a także wskaźniki elastyczności wydatków publicznych względem PKB (</w:t>
      </w:r>
      <w:r w:rsidRPr="000A6243">
        <w:rPr>
          <w:rFonts w:ascii="Symbol" w:hAnsi="Symbol" w:cs="Times New Roman"/>
          <w:sz w:val="24"/>
          <w:szCs w:val="24"/>
          <w:lang w:val="pl-PL"/>
        </w:rPr>
        <w:t></w:t>
      </w:r>
      <w:proofErr w:type="spellStart"/>
      <w:r w:rsidRPr="000A6243">
        <w:rPr>
          <w:rFonts w:ascii="Times New Roman" w:hAnsi="Times New Roman" w:cs="Times New Roman"/>
          <w:sz w:val="24"/>
          <w:szCs w:val="24"/>
          <w:vertAlign w:val="subscript"/>
          <w:lang w:val="pl-PL"/>
        </w:rPr>
        <w:t>wp,pkb</w:t>
      </w:r>
      <w:proofErr w:type="spellEnd"/>
      <w:r w:rsidRPr="00F43D6C">
        <w:rPr>
          <w:rFonts w:ascii="Times New Roman" w:hAnsi="Times New Roman" w:cs="Times New Roman"/>
          <w:sz w:val="24"/>
          <w:szCs w:val="24"/>
          <w:lang w:val="pl-PL"/>
        </w:rPr>
        <w:t>)</w:t>
      </w:r>
      <w:r>
        <w:rPr>
          <w:rFonts w:ascii="Times New Roman" w:hAnsi="Times New Roman" w:cs="Times New Roman"/>
          <w:sz w:val="24"/>
          <w:szCs w:val="24"/>
          <w:lang w:val="pl-PL"/>
        </w:rPr>
        <w:t xml:space="preserve"> </w:t>
      </w:r>
      <w:r w:rsidR="004264A6">
        <w:rPr>
          <w:rFonts w:ascii="Times New Roman" w:hAnsi="Times New Roman" w:cs="Times New Roman"/>
          <w:sz w:val="24"/>
          <w:szCs w:val="24"/>
          <w:lang w:val="pl-PL"/>
        </w:rPr>
        <w:t>przedstawiono w tab</w:t>
      </w:r>
      <w:r w:rsidR="00A91FF4">
        <w:rPr>
          <w:rFonts w:ascii="Times New Roman" w:hAnsi="Times New Roman" w:cs="Times New Roman"/>
          <w:sz w:val="24"/>
          <w:szCs w:val="24"/>
          <w:lang w:val="pl-PL"/>
        </w:rPr>
        <w:t>.</w:t>
      </w:r>
      <w:r w:rsidR="004264A6">
        <w:rPr>
          <w:rFonts w:ascii="Times New Roman" w:hAnsi="Times New Roman" w:cs="Times New Roman"/>
          <w:sz w:val="24"/>
          <w:szCs w:val="24"/>
          <w:lang w:val="pl-PL"/>
        </w:rPr>
        <w:t xml:space="preserve"> 1 oraz na rys</w:t>
      </w:r>
      <w:r w:rsidR="00A91FF4">
        <w:rPr>
          <w:rFonts w:ascii="Times New Roman" w:hAnsi="Times New Roman" w:cs="Times New Roman"/>
          <w:sz w:val="24"/>
          <w:szCs w:val="24"/>
          <w:lang w:val="pl-PL"/>
        </w:rPr>
        <w:t>.</w:t>
      </w:r>
      <w:r w:rsidR="004264A6">
        <w:rPr>
          <w:rFonts w:ascii="Times New Roman" w:hAnsi="Times New Roman" w:cs="Times New Roman"/>
          <w:sz w:val="24"/>
          <w:szCs w:val="24"/>
          <w:lang w:val="pl-PL"/>
        </w:rPr>
        <w:t xml:space="preserve"> 1.</w:t>
      </w:r>
    </w:p>
    <w:p w:rsidR="00811C50" w:rsidRPr="00473E46" w:rsidRDefault="00811C50" w:rsidP="00811C50">
      <w:pPr>
        <w:spacing w:after="0" w:line="360" w:lineRule="auto"/>
        <w:rPr>
          <w:rFonts w:ascii="Times New Roman" w:hAnsi="Times New Roman" w:cs="Times New Roman"/>
          <w:sz w:val="20"/>
          <w:szCs w:val="24"/>
          <w:lang w:val="pl-PL"/>
        </w:rPr>
      </w:pPr>
      <w:r>
        <w:rPr>
          <w:rFonts w:ascii="Times New Roman" w:hAnsi="Times New Roman" w:cs="Times New Roman"/>
          <w:sz w:val="20"/>
          <w:szCs w:val="24"/>
          <w:lang w:val="pl-PL"/>
        </w:rPr>
        <w:t>Rysunek</w:t>
      </w:r>
      <w:r w:rsidRPr="00473E46">
        <w:rPr>
          <w:rFonts w:ascii="Times New Roman" w:hAnsi="Times New Roman" w:cs="Times New Roman"/>
          <w:sz w:val="20"/>
          <w:szCs w:val="24"/>
          <w:lang w:val="pl-PL"/>
        </w:rPr>
        <w:t xml:space="preserve"> </w:t>
      </w:r>
      <w:r>
        <w:rPr>
          <w:rFonts w:ascii="Times New Roman" w:hAnsi="Times New Roman" w:cs="Times New Roman"/>
          <w:sz w:val="20"/>
          <w:szCs w:val="24"/>
          <w:lang w:val="pl-PL"/>
        </w:rPr>
        <w:t>1</w:t>
      </w:r>
      <w:r w:rsidRPr="00473E46">
        <w:rPr>
          <w:rFonts w:ascii="Times New Roman" w:hAnsi="Times New Roman" w:cs="Times New Roman"/>
          <w:sz w:val="20"/>
          <w:szCs w:val="24"/>
          <w:lang w:val="pl-PL"/>
        </w:rPr>
        <w:t xml:space="preserve">. </w:t>
      </w:r>
      <w:r>
        <w:rPr>
          <w:rFonts w:ascii="Times New Roman" w:hAnsi="Times New Roman" w:cs="Times New Roman"/>
          <w:sz w:val="20"/>
          <w:szCs w:val="24"/>
          <w:lang w:val="pl-PL"/>
        </w:rPr>
        <w:t xml:space="preserve">Elastyczność wydatków publicznych względem PKB </w:t>
      </w:r>
    </w:p>
    <w:p w:rsidR="00811C50" w:rsidRDefault="003A2722" w:rsidP="00811C50">
      <w:pPr>
        <w:spacing w:after="0" w:line="360" w:lineRule="auto"/>
        <w:jc w:val="both"/>
        <w:rPr>
          <w:rFonts w:ascii="Times New Roman" w:hAnsi="Times New Roman" w:cs="Times New Roman"/>
          <w:sz w:val="24"/>
          <w:szCs w:val="24"/>
          <w:lang w:val="pl-PL"/>
        </w:rPr>
      </w:pPr>
      <w:r>
        <w:rPr>
          <w:rFonts w:ascii="Times New Roman" w:hAnsi="Times New Roman" w:cs="Times New Roman"/>
          <w:noProof/>
          <w:sz w:val="24"/>
          <w:szCs w:val="24"/>
        </w:rPr>
        <w:drawing>
          <wp:inline distT="0" distB="0" distL="0" distR="0" wp14:anchorId="0741031B">
            <wp:extent cx="4305300" cy="1829482"/>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1087" cy="1831941"/>
                    </a:xfrm>
                    <a:prstGeom prst="rect">
                      <a:avLst/>
                    </a:prstGeom>
                    <a:noFill/>
                  </pic:spPr>
                </pic:pic>
              </a:graphicData>
            </a:graphic>
          </wp:inline>
        </w:drawing>
      </w:r>
    </w:p>
    <w:p w:rsidR="00811C50" w:rsidRDefault="00811C50" w:rsidP="00811C50">
      <w:pPr>
        <w:spacing w:line="360" w:lineRule="auto"/>
        <w:rPr>
          <w:rFonts w:ascii="Times New Roman" w:hAnsi="Times New Roman" w:cs="Times New Roman"/>
          <w:sz w:val="20"/>
          <w:szCs w:val="20"/>
          <w:lang w:val="pl-PL"/>
        </w:rPr>
      </w:pPr>
      <w:r w:rsidRPr="00A315B9">
        <w:rPr>
          <w:rFonts w:ascii="Times New Roman" w:hAnsi="Times New Roman" w:cs="Times New Roman"/>
          <w:i/>
          <w:sz w:val="20"/>
          <w:szCs w:val="20"/>
          <w:lang w:val="pl-PL"/>
        </w:rPr>
        <w:t>Źródło</w:t>
      </w:r>
      <w:r>
        <w:rPr>
          <w:rFonts w:ascii="Times New Roman" w:hAnsi="Times New Roman" w:cs="Times New Roman"/>
          <w:sz w:val="20"/>
          <w:szCs w:val="20"/>
          <w:lang w:val="pl-PL"/>
        </w:rPr>
        <w:t>: Obliczenia własne na podstawie danych z bazy EUROSTAT.</w:t>
      </w:r>
    </w:p>
    <w:p w:rsidR="005635CE" w:rsidRDefault="00DD1332" w:rsidP="006544C6">
      <w:pPr>
        <w:spacing w:after="0" w:line="360" w:lineRule="auto"/>
        <w:ind w:firstLine="851"/>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 </w:t>
      </w:r>
      <w:r w:rsidR="00F56E19">
        <w:rPr>
          <w:rFonts w:ascii="Times New Roman" w:hAnsi="Times New Roman" w:cs="Times New Roman"/>
          <w:sz w:val="24"/>
          <w:szCs w:val="24"/>
          <w:lang w:val="pl-PL"/>
        </w:rPr>
        <w:t xml:space="preserve">okresie poprzedzającym kryzys gospodarczy, średniej 5-letniej stopie wzrostu gospodarczego wynoszącej 37% odpowiadał 30% wzrost wydatków publicznych. </w:t>
      </w:r>
      <w:r w:rsidR="000E250E">
        <w:rPr>
          <w:rFonts w:ascii="Times New Roman" w:hAnsi="Times New Roman" w:cs="Times New Roman"/>
          <w:sz w:val="24"/>
          <w:szCs w:val="24"/>
          <w:lang w:val="pl-PL"/>
        </w:rPr>
        <w:t>Średnia e</w:t>
      </w:r>
      <w:r w:rsidR="00F56E19">
        <w:rPr>
          <w:rFonts w:ascii="Times New Roman" w:hAnsi="Times New Roman" w:cs="Times New Roman"/>
          <w:sz w:val="24"/>
          <w:szCs w:val="24"/>
          <w:lang w:val="pl-PL"/>
        </w:rPr>
        <w:t xml:space="preserve">lastyczność wydatków </w:t>
      </w:r>
      <w:r w:rsidR="00FD3730">
        <w:rPr>
          <w:rFonts w:ascii="Times New Roman" w:hAnsi="Times New Roman" w:cs="Times New Roman"/>
          <w:sz w:val="24"/>
          <w:szCs w:val="24"/>
          <w:lang w:val="pl-PL"/>
        </w:rPr>
        <w:t>do</w:t>
      </w:r>
      <w:r w:rsidR="00F56E19">
        <w:rPr>
          <w:rFonts w:ascii="Times New Roman" w:hAnsi="Times New Roman" w:cs="Times New Roman"/>
          <w:sz w:val="24"/>
          <w:szCs w:val="24"/>
          <w:lang w:val="pl-PL"/>
        </w:rPr>
        <w:t xml:space="preserve"> PKB wyniosła około 0,8, i tylko w Rumunii tempo wzrostu wydatków wyraźnie przekroczyło tempo wzrostu gospodarczego</w:t>
      </w:r>
      <w:r w:rsidR="00FD3730">
        <w:rPr>
          <w:rFonts w:ascii="Times New Roman" w:hAnsi="Times New Roman" w:cs="Times New Roman"/>
          <w:sz w:val="24"/>
          <w:szCs w:val="24"/>
          <w:lang w:val="pl-PL"/>
        </w:rPr>
        <w:t>.</w:t>
      </w:r>
      <w:r w:rsidR="00A91FF4">
        <w:rPr>
          <w:rFonts w:ascii="Times New Roman" w:hAnsi="Times New Roman" w:cs="Times New Roman"/>
          <w:sz w:val="24"/>
          <w:szCs w:val="24"/>
          <w:lang w:val="pl-PL"/>
        </w:rPr>
        <w:t xml:space="preserve"> </w:t>
      </w:r>
      <w:r w:rsidR="00F56E19">
        <w:rPr>
          <w:rFonts w:ascii="Times New Roman" w:hAnsi="Times New Roman" w:cs="Times New Roman"/>
          <w:sz w:val="24"/>
          <w:szCs w:val="24"/>
          <w:lang w:val="pl-PL"/>
        </w:rPr>
        <w:t xml:space="preserve">Słowenia, Czechy i przede wszystkim Słowacja, </w:t>
      </w:r>
      <w:r w:rsidR="00FD3730">
        <w:rPr>
          <w:rFonts w:ascii="Times New Roman" w:hAnsi="Times New Roman" w:cs="Times New Roman"/>
          <w:sz w:val="24"/>
          <w:szCs w:val="24"/>
          <w:lang w:val="pl-PL"/>
        </w:rPr>
        <w:t>utrzymały dynamikę wydatków publicznych znacznie wolniejszą od dynamiki PKB, obniżając poziom wskaźnika fiskalnego (w Słowenii z 45,8</w:t>
      </w:r>
      <w:r w:rsidR="00473E46">
        <w:rPr>
          <w:rFonts w:ascii="Times New Roman" w:hAnsi="Times New Roman" w:cs="Times New Roman"/>
          <w:sz w:val="24"/>
          <w:szCs w:val="24"/>
          <w:lang w:val="pl-PL"/>
        </w:rPr>
        <w:t>%</w:t>
      </w:r>
      <w:r w:rsidR="00FD3730">
        <w:rPr>
          <w:rFonts w:ascii="Times New Roman" w:hAnsi="Times New Roman" w:cs="Times New Roman"/>
          <w:sz w:val="24"/>
          <w:szCs w:val="24"/>
          <w:lang w:val="pl-PL"/>
        </w:rPr>
        <w:t xml:space="preserve"> </w:t>
      </w:r>
      <w:r w:rsidR="00473E46">
        <w:rPr>
          <w:rFonts w:ascii="Times New Roman" w:hAnsi="Times New Roman" w:cs="Times New Roman"/>
          <w:sz w:val="24"/>
          <w:szCs w:val="24"/>
          <w:lang w:val="pl-PL"/>
        </w:rPr>
        <w:t xml:space="preserve">w roku 2002 </w:t>
      </w:r>
      <w:r w:rsidR="00FD3730">
        <w:rPr>
          <w:rFonts w:ascii="Times New Roman" w:hAnsi="Times New Roman" w:cs="Times New Roman"/>
          <w:sz w:val="24"/>
          <w:szCs w:val="24"/>
          <w:lang w:val="pl-PL"/>
        </w:rPr>
        <w:t>do 42,2%</w:t>
      </w:r>
      <w:r w:rsidR="00473E46">
        <w:rPr>
          <w:rFonts w:ascii="Times New Roman" w:hAnsi="Times New Roman" w:cs="Times New Roman"/>
          <w:sz w:val="24"/>
          <w:szCs w:val="24"/>
          <w:lang w:val="pl-PL"/>
        </w:rPr>
        <w:t xml:space="preserve"> w roku 2007,</w:t>
      </w:r>
      <w:r w:rsidR="00FD3730">
        <w:rPr>
          <w:rFonts w:ascii="Times New Roman" w:hAnsi="Times New Roman" w:cs="Times New Roman"/>
          <w:sz w:val="24"/>
          <w:szCs w:val="24"/>
          <w:lang w:val="pl-PL"/>
        </w:rPr>
        <w:t xml:space="preserve"> w Czechach </w:t>
      </w:r>
      <w:r w:rsidR="00473E46">
        <w:rPr>
          <w:rFonts w:ascii="Times New Roman" w:hAnsi="Times New Roman" w:cs="Times New Roman"/>
          <w:sz w:val="24"/>
          <w:szCs w:val="24"/>
          <w:lang w:val="pl-PL"/>
        </w:rPr>
        <w:t xml:space="preserve">odpowiednio </w:t>
      </w:r>
      <w:r w:rsidR="00FD3730">
        <w:rPr>
          <w:rFonts w:ascii="Times New Roman" w:hAnsi="Times New Roman" w:cs="Times New Roman"/>
          <w:sz w:val="24"/>
          <w:szCs w:val="24"/>
          <w:lang w:val="pl-PL"/>
        </w:rPr>
        <w:t>z 44,3</w:t>
      </w:r>
      <w:r w:rsidR="00473E46">
        <w:rPr>
          <w:rFonts w:ascii="Times New Roman" w:hAnsi="Times New Roman" w:cs="Times New Roman"/>
          <w:sz w:val="24"/>
          <w:szCs w:val="24"/>
          <w:lang w:val="pl-PL"/>
        </w:rPr>
        <w:t>%</w:t>
      </w:r>
      <w:r w:rsidR="00FD3730">
        <w:rPr>
          <w:rFonts w:ascii="Times New Roman" w:hAnsi="Times New Roman" w:cs="Times New Roman"/>
          <w:sz w:val="24"/>
          <w:szCs w:val="24"/>
          <w:lang w:val="pl-PL"/>
        </w:rPr>
        <w:t xml:space="preserve"> do 40%</w:t>
      </w:r>
      <w:r w:rsidR="00473E46">
        <w:rPr>
          <w:rFonts w:ascii="Times New Roman" w:hAnsi="Times New Roman" w:cs="Times New Roman"/>
          <w:sz w:val="24"/>
          <w:szCs w:val="24"/>
          <w:lang w:val="pl-PL"/>
        </w:rPr>
        <w:t>,</w:t>
      </w:r>
      <w:r w:rsidR="00FD3730">
        <w:rPr>
          <w:rFonts w:ascii="Times New Roman" w:hAnsi="Times New Roman" w:cs="Times New Roman"/>
          <w:sz w:val="24"/>
          <w:szCs w:val="24"/>
          <w:lang w:val="pl-PL"/>
        </w:rPr>
        <w:t xml:space="preserve"> </w:t>
      </w:r>
      <w:r w:rsidR="00473E46">
        <w:rPr>
          <w:rFonts w:ascii="Times New Roman" w:hAnsi="Times New Roman" w:cs="Times New Roman"/>
          <w:sz w:val="24"/>
          <w:szCs w:val="24"/>
          <w:lang w:val="pl-PL"/>
        </w:rPr>
        <w:t xml:space="preserve">a </w:t>
      </w:r>
      <w:r w:rsidR="00FD3730">
        <w:rPr>
          <w:rFonts w:ascii="Times New Roman" w:hAnsi="Times New Roman" w:cs="Times New Roman"/>
          <w:sz w:val="24"/>
          <w:szCs w:val="24"/>
          <w:lang w:val="pl-PL"/>
        </w:rPr>
        <w:t>w Słowacji z 45,1</w:t>
      </w:r>
      <w:r w:rsidR="00473E46">
        <w:rPr>
          <w:rFonts w:ascii="Times New Roman" w:hAnsi="Times New Roman" w:cs="Times New Roman"/>
          <w:sz w:val="24"/>
          <w:szCs w:val="24"/>
          <w:lang w:val="pl-PL"/>
        </w:rPr>
        <w:t>%</w:t>
      </w:r>
      <w:r w:rsidR="00FD3730">
        <w:rPr>
          <w:rFonts w:ascii="Times New Roman" w:hAnsi="Times New Roman" w:cs="Times New Roman"/>
          <w:sz w:val="24"/>
          <w:szCs w:val="24"/>
          <w:lang w:val="pl-PL"/>
        </w:rPr>
        <w:t xml:space="preserve"> do 36%). </w:t>
      </w:r>
      <w:r w:rsidR="00473E46">
        <w:rPr>
          <w:rFonts w:ascii="Times New Roman" w:hAnsi="Times New Roman" w:cs="Times New Roman"/>
          <w:sz w:val="24"/>
          <w:szCs w:val="24"/>
          <w:lang w:val="pl-PL"/>
        </w:rPr>
        <w:t xml:space="preserve">Zmiany po 2007 roku miały znacznie bardziej </w:t>
      </w:r>
      <w:r w:rsidR="0034592F">
        <w:rPr>
          <w:rFonts w:ascii="Times New Roman" w:hAnsi="Times New Roman" w:cs="Times New Roman"/>
          <w:sz w:val="24"/>
          <w:szCs w:val="24"/>
          <w:lang w:val="pl-PL"/>
        </w:rPr>
        <w:t>niejednorodny</w:t>
      </w:r>
      <w:r w:rsidR="00473E46">
        <w:rPr>
          <w:rFonts w:ascii="Times New Roman" w:hAnsi="Times New Roman" w:cs="Times New Roman"/>
          <w:sz w:val="24"/>
          <w:szCs w:val="24"/>
          <w:lang w:val="pl-PL"/>
        </w:rPr>
        <w:t xml:space="preserve"> charakter, co odzwierciedlało zarówno </w:t>
      </w:r>
      <w:r w:rsidR="0006644A">
        <w:rPr>
          <w:rFonts w:ascii="Times New Roman" w:hAnsi="Times New Roman" w:cs="Times New Roman"/>
          <w:sz w:val="24"/>
          <w:szCs w:val="24"/>
          <w:lang w:val="pl-PL"/>
        </w:rPr>
        <w:t>zaburzenia</w:t>
      </w:r>
      <w:r w:rsidR="0034592F">
        <w:rPr>
          <w:rFonts w:ascii="Times New Roman" w:hAnsi="Times New Roman" w:cs="Times New Roman"/>
          <w:sz w:val="24"/>
          <w:szCs w:val="24"/>
          <w:lang w:val="pl-PL"/>
        </w:rPr>
        <w:t xml:space="preserve"> wzrostu gospodarczego, jak i </w:t>
      </w:r>
      <w:r w:rsidR="0006644A">
        <w:rPr>
          <w:rFonts w:ascii="Times New Roman" w:hAnsi="Times New Roman" w:cs="Times New Roman"/>
          <w:sz w:val="24"/>
          <w:szCs w:val="24"/>
          <w:lang w:val="pl-PL"/>
        </w:rPr>
        <w:t xml:space="preserve">charakter </w:t>
      </w:r>
      <w:r w:rsidR="0034592F">
        <w:rPr>
          <w:rFonts w:ascii="Times New Roman" w:hAnsi="Times New Roman" w:cs="Times New Roman"/>
          <w:sz w:val="24"/>
          <w:szCs w:val="24"/>
          <w:lang w:val="pl-PL"/>
        </w:rPr>
        <w:t>prowadzonej polity</w:t>
      </w:r>
      <w:r w:rsidR="0006644A">
        <w:rPr>
          <w:rFonts w:ascii="Times New Roman" w:hAnsi="Times New Roman" w:cs="Times New Roman"/>
          <w:sz w:val="24"/>
          <w:szCs w:val="24"/>
          <w:lang w:val="pl-PL"/>
        </w:rPr>
        <w:t xml:space="preserve">ki </w:t>
      </w:r>
      <w:r w:rsidR="0034592F">
        <w:rPr>
          <w:rFonts w:ascii="Times New Roman" w:hAnsi="Times New Roman" w:cs="Times New Roman"/>
          <w:sz w:val="24"/>
          <w:szCs w:val="24"/>
          <w:lang w:val="pl-PL"/>
        </w:rPr>
        <w:t>fiskalnej</w:t>
      </w:r>
      <w:r w:rsidR="00473E46">
        <w:rPr>
          <w:rFonts w:ascii="Times New Roman" w:hAnsi="Times New Roman" w:cs="Times New Roman"/>
          <w:sz w:val="24"/>
          <w:szCs w:val="24"/>
          <w:lang w:val="pl-PL"/>
        </w:rPr>
        <w:t>. W roku 2014 cztery kraje wciąż nie odbudowały poziomu PKB z roku 2007</w:t>
      </w:r>
      <w:r w:rsidR="0034592F">
        <w:rPr>
          <w:rFonts w:ascii="Times New Roman" w:hAnsi="Times New Roman" w:cs="Times New Roman"/>
          <w:sz w:val="24"/>
          <w:szCs w:val="24"/>
          <w:lang w:val="pl-PL"/>
        </w:rPr>
        <w:t xml:space="preserve">, a tylko w przypadku dwóch </w:t>
      </w:r>
      <w:r w:rsidR="00854211">
        <w:rPr>
          <w:rFonts w:ascii="Times New Roman" w:hAnsi="Times New Roman" w:cs="Times New Roman"/>
          <w:sz w:val="24"/>
          <w:szCs w:val="24"/>
          <w:lang w:val="pl-PL"/>
        </w:rPr>
        <w:t xml:space="preserve">krajów </w:t>
      </w:r>
      <w:r w:rsidR="0034592F">
        <w:rPr>
          <w:rFonts w:ascii="Times New Roman" w:hAnsi="Times New Roman" w:cs="Times New Roman"/>
          <w:sz w:val="24"/>
          <w:szCs w:val="24"/>
          <w:lang w:val="pl-PL"/>
        </w:rPr>
        <w:t>7-letnia stopa wzrostu była dwucyfrowa (najwyższa w Polsce, 24%).</w:t>
      </w:r>
      <w:r w:rsidR="00473E46">
        <w:rPr>
          <w:rFonts w:ascii="Times New Roman" w:hAnsi="Times New Roman" w:cs="Times New Roman"/>
          <w:sz w:val="24"/>
          <w:szCs w:val="24"/>
          <w:lang w:val="pl-PL"/>
        </w:rPr>
        <w:t xml:space="preserve"> </w:t>
      </w:r>
      <w:r w:rsidR="0079709A">
        <w:rPr>
          <w:rFonts w:ascii="Times New Roman" w:hAnsi="Times New Roman" w:cs="Times New Roman"/>
          <w:sz w:val="24"/>
          <w:szCs w:val="24"/>
          <w:lang w:val="pl-PL"/>
        </w:rPr>
        <w:t xml:space="preserve">W okresie tym dynamika wydatków publicznych była słabiej skorelowana z dynamiką wzrostu gospodarczego, a wcześniejsze trendy uległy </w:t>
      </w:r>
      <w:r w:rsidR="008C56F9">
        <w:rPr>
          <w:rFonts w:ascii="Times New Roman" w:hAnsi="Times New Roman" w:cs="Times New Roman"/>
          <w:sz w:val="24"/>
          <w:szCs w:val="24"/>
          <w:lang w:val="pl-PL"/>
        </w:rPr>
        <w:t xml:space="preserve">istotnemu </w:t>
      </w:r>
      <w:r w:rsidR="0079709A">
        <w:rPr>
          <w:rFonts w:ascii="Times New Roman" w:hAnsi="Times New Roman" w:cs="Times New Roman"/>
          <w:sz w:val="24"/>
          <w:szCs w:val="24"/>
          <w:lang w:val="pl-PL"/>
        </w:rPr>
        <w:t xml:space="preserve">zniekształceniu. W okresie osłabienia gospodarczego decyzje fiskalne były bardzo zróżnicowane: podejmowane były zarówno działania nakierowane na obniżenie realnego poziomu wydatków publicznych (w Rumunii 8,5% </w:t>
      </w:r>
      <w:r w:rsidR="000E250E">
        <w:rPr>
          <w:rFonts w:ascii="Times New Roman" w:hAnsi="Times New Roman" w:cs="Times New Roman"/>
          <w:sz w:val="24"/>
          <w:szCs w:val="24"/>
          <w:lang w:val="pl-PL"/>
        </w:rPr>
        <w:t xml:space="preserve">realnemu </w:t>
      </w:r>
      <w:r w:rsidR="0079709A">
        <w:rPr>
          <w:rFonts w:ascii="Times New Roman" w:hAnsi="Times New Roman" w:cs="Times New Roman"/>
          <w:sz w:val="24"/>
          <w:szCs w:val="24"/>
          <w:lang w:val="pl-PL"/>
        </w:rPr>
        <w:t xml:space="preserve">wzrostowi PKB towarzyszyło </w:t>
      </w:r>
      <w:r w:rsidR="000E250E">
        <w:rPr>
          <w:rFonts w:ascii="Times New Roman" w:hAnsi="Times New Roman" w:cs="Times New Roman"/>
          <w:sz w:val="24"/>
          <w:szCs w:val="24"/>
          <w:lang w:val="pl-PL"/>
        </w:rPr>
        <w:t xml:space="preserve">realne </w:t>
      </w:r>
      <w:r w:rsidR="0079709A">
        <w:rPr>
          <w:rFonts w:ascii="Times New Roman" w:hAnsi="Times New Roman" w:cs="Times New Roman"/>
          <w:sz w:val="24"/>
          <w:szCs w:val="24"/>
          <w:lang w:val="pl-PL"/>
        </w:rPr>
        <w:t xml:space="preserve">obniżenie wydatków publicznych o 1,2%), jak i próby </w:t>
      </w:r>
      <w:r w:rsidR="008C56F9">
        <w:rPr>
          <w:rFonts w:ascii="Times New Roman" w:hAnsi="Times New Roman" w:cs="Times New Roman"/>
          <w:sz w:val="24"/>
          <w:szCs w:val="24"/>
          <w:lang w:val="pl-PL"/>
        </w:rPr>
        <w:lastRenderedPageBreak/>
        <w:t>przezwyciężenia osłabienia gospodarczego</w:t>
      </w:r>
      <w:r w:rsidR="0079709A">
        <w:rPr>
          <w:rFonts w:ascii="Times New Roman" w:hAnsi="Times New Roman" w:cs="Times New Roman"/>
          <w:sz w:val="24"/>
          <w:szCs w:val="24"/>
          <w:lang w:val="pl-PL"/>
        </w:rPr>
        <w:t xml:space="preserve"> p</w:t>
      </w:r>
      <w:r w:rsidR="008C56F9">
        <w:rPr>
          <w:rFonts w:ascii="Times New Roman" w:hAnsi="Times New Roman" w:cs="Times New Roman"/>
          <w:sz w:val="24"/>
          <w:szCs w:val="24"/>
          <w:lang w:val="pl-PL"/>
        </w:rPr>
        <w:t xml:space="preserve">rzez intensyfikację wydatków publicznych (w Słowenii 3,7% spadkowi wzrostu gospodarczego towarzyszył niemal 14% wzrost wydatków publicznych). W efekcie wskaźnik elastyczności wydatków publicznych do PKB </w:t>
      </w:r>
      <w:r w:rsidR="00656619" w:rsidRPr="000A6243">
        <w:rPr>
          <w:rFonts w:ascii="Symbol" w:hAnsi="Symbol" w:cs="Times New Roman"/>
          <w:sz w:val="24"/>
          <w:szCs w:val="24"/>
          <w:lang w:val="pl-PL"/>
        </w:rPr>
        <w:t></w:t>
      </w:r>
      <w:proofErr w:type="spellStart"/>
      <w:r w:rsidR="00656619" w:rsidRPr="000A6243">
        <w:rPr>
          <w:rFonts w:ascii="Times New Roman" w:hAnsi="Times New Roman" w:cs="Times New Roman"/>
          <w:sz w:val="24"/>
          <w:szCs w:val="24"/>
          <w:vertAlign w:val="subscript"/>
          <w:lang w:val="pl-PL"/>
        </w:rPr>
        <w:t>wp,pkb</w:t>
      </w:r>
      <w:proofErr w:type="spellEnd"/>
      <w:r w:rsidR="00656619">
        <w:rPr>
          <w:rFonts w:ascii="Times New Roman" w:hAnsi="Times New Roman" w:cs="Times New Roman"/>
          <w:sz w:val="24"/>
          <w:szCs w:val="24"/>
          <w:lang w:val="pl-PL"/>
        </w:rPr>
        <w:t xml:space="preserve"> </w:t>
      </w:r>
      <w:r w:rsidR="008C56F9">
        <w:rPr>
          <w:rFonts w:ascii="Times New Roman" w:hAnsi="Times New Roman" w:cs="Times New Roman"/>
          <w:sz w:val="24"/>
          <w:szCs w:val="24"/>
          <w:lang w:val="pl-PL"/>
        </w:rPr>
        <w:t>przyjął bardzo zróżnicowane wartości, zarówno dodatnie (maksymalnie 2,6), jak i ujemne</w:t>
      </w:r>
      <w:r w:rsidR="004D5D16">
        <w:rPr>
          <w:rFonts w:ascii="Times New Roman" w:hAnsi="Times New Roman" w:cs="Times New Roman"/>
          <w:sz w:val="24"/>
          <w:szCs w:val="24"/>
          <w:lang w:val="pl-PL"/>
        </w:rPr>
        <w:t xml:space="preserve"> (minimalnie </w:t>
      </w:r>
      <w:r w:rsidR="004264A6">
        <w:rPr>
          <w:rFonts w:ascii="Times New Roman" w:hAnsi="Times New Roman" w:cs="Times New Roman"/>
          <w:sz w:val="24"/>
          <w:szCs w:val="24"/>
          <w:lang w:val="pl-PL"/>
        </w:rPr>
        <w:t>-</w:t>
      </w:r>
      <w:r w:rsidR="004D5D16">
        <w:rPr>
          <w:rFonts w:ascii="Times New Roman" w:hAnsi="Times New Roman" w:cs="Times New Roman"/>
          <w:sz w:val="24"/>
          <w:szCs w:val="24"/>
          <w:lang w:val="pl-PL"/>
        </w:rPr>
        <w:t>3,7)</w:t>
      </w:r>
      <w:r w:rsidR="00811C50">
        <w:rPr>
          <w:rFonts w:ascii="Times New Roman" w:hAnsi="Times New Roman" w:cs="Times New Roman"/>
          <w:sz w:val="24"/>
          <w:szCs w:val="24"/>
          <w:lang w:val="pl-PL"/>
        </w:rPr>
        <w:t>.</w:t>
      </w:r>
      <w:r w:rsidR="008C56F9">
        <w:rPr>
          <w:rFonts w:ascii="Times New Roman" w:hAnsi="Times New Roman" w:cs="Times New Roman"/>
          <w:sz w:val="24"/>
          <w:szCs w:val="24"/>
          <w:lang w:val="pl-PL"/>
        </w:rPr>
        <w:t xml:space="preserve"> Polska na tle pozostałych krajów ESW11, wykazywała największą stabilność dynamiki wydatków publicznych w </w:t>
      </w:r>
      <w:r w:rsidR="000E250E">
        <w:rPr>
          <w:rFonts w:ascii="Times New Roman" w:hAnsi="Times New Roman" w:cs="Times New Roman"/>
          <w:sz w:val="24"/>
          <w:szCs w:val="24"/>
          <w:lang w:val="pl-PL"/>
        </w:rPr>
        <w:t>obydwu analizowanych podokresach</w:t>
      </w:r>
      <w:r w:rsidR="008C56F9">
        <w:rPr>
          <w:rFonts w:ascii="Times New Roman" w:hAnsi="Times New Roman" w:cs="Times New Roman"/>
          <w:sz w:val="24"/>
          <w:szCs w:val="24"/>
          <w:lang w:val="pl-PL"/>
        </w:rPr>
        <w:t xml:space="preserve">, na co z pewnością duży wpływ miało uniknięcie recesji gospodarczej </w:t>
      </w:r>
      <w:r w:rsidR="000E250E">
        <w:rPr>
          <w:rFonts w:ascii="Times New Roman" w:hAnsi="Times New Roman" w:cs="Times New Roman"/>
          <w:sz w:val="24"/>
          <w:szCs w:val="24"/>
          <w:lang w:val="pl-PL"/>
        </w:rPr>
        <w:t xml:space="preserve">i najbardziej wyrównana ścieżka wzrostu gospodarczego </w:t>
      </w:r>
      <w:r w:rsidR="008C56F9">
        <w:rPr>
          <w:rFonts w:ascii="Times New Roman" w:hAnsi="Times New Roman" w:cs="Times New Roman"/>
          <w:sz w:val="24"/>
          <w:szCs w:val="24"/>
          <w:lang w:val="pl-PL"/>
        </w:rPr>
        <w:t xml:space="preserve">w </w:t>
      </w:r>
      <w:r w:rsidR="0006644A">
        <w:rPr>
          <w:rFonts w:ascii="Times New Roman" w:hAnsi="Times New Roman" w:cs="Times New Roman"/>
          <w:sz w:val="24"/>
          <w:szCs w:val="24"/>
          <w:lang w:val="pl-PL"/>
        </w:rPr>
        <w:t>13-letnim</w:t>
      </w:r>
      <w:r w:rsidR="008C56F9">
        <w:rPr>
          <w:rFonts w:ascii="Times New Roman" w:hAnsi="Times New Roman" w:cs="Times New Roman"/>
          <w:sz w:val="24"/>
          <w:szCs w:val="24"/>
          <w:lang w:val="pl-PL"/>
        </w:rPr>
        <w:t xml:space="preserve"> okresie badawczym.</w:t>
      </w:r>
    </w:p>
    <w:p w:rsidR="007472A2" w:rsidRDefault="007472A2" w:rsidP="005D55BF">
      <w:pPr>
        <w:rPr>
          <w:rFonts w:ascii="Times New Roman" w:hAnsi="Times New Roman" w:cs="Times New Roman"/>
          <w:b/>
          <w:sz w:val="24"/>
          <w:szCs w:val="24"/>
          <w:lang w:val="pl-PL"/>
        </w:rPr>
      </w:pPr>
    </w:p>
    <w:p w:rsidR="007133A6" w:rsidRPr="00191650" w:rsidRDefault="003D785C" w:rsidP="00426979">
      <w:pPr>
        <w:pStyle w:val="Akapitzlist"/>
        <w:numPr>
          <w:ilvl w:val="0"/>
          <w:numId w:val="8"/>
        </w:numPr>
        <w:ind w:left="426"/>
        <w:rPr>
          <w:rFonts w:ascii="Times New Roman" w:hAnsi="Times New Roman" w:cs="Times New Roman"/>
          <w:b/>
          <w:sz w:val="24"/>
          <w:szCs w:val="24"/>
          <w:lang w:val="pl-PL"/>
        </w:rPr>
      </w:pPr>
      <w:r w:rsidRPr="00191650">
        <w:rPr>
          <w:rFonts w:ascii="Times New Roman" w:hAnsi="Times New Roman" w:cs="Times New Roman"/>
          <w:b/>
          <w:sz w:val="24"/>
          <w:szCs w:val="24"/>
          <w:lang w:val="pl-PL"/>
        </w:rPr>
        <w:t xml:space="preserve">Struktura wydatków publicznych </w:t>
      </w:r>
      <w:r w:rsidR="002C1118" w:rsidRPr="00191650">
        <w:rPr>
          <w:rFonts w:ascii="Times New Roman" w:hAnsi="Times New Roman" w:cs="Times New Roman"/>
          <w:b/>
          <w:sz w:val="24"/>
          <w:szCs w:val="24"/>
          <w:lang w:val="pl-PL"/>
        </w:rPr>
        <w:t>w krajach ESW</w:t>
      </w:r>
      <w:r w:rsidR="009E6899" w:rsidRPr="00191650">
        <w:rPr>
          <w:rFonts w:ascii="Times New Roman" w:hAnsi="Times New Roman" w:cs="Times New Roman"/>
          <w:b/>
          <w:sz w:val="24"/>
          <w:szCs w:val="24"/>
          <w:lang w:val="pl-PL"/>
        </w:rPr>
        <w:t>11</w:t>
      </w:r>
      <w:r w:rsidR="002C1118" w:rsidRPr="00191650">
        <w:rPr>
          <w:rFonts w:ascii="Times New Roman" w:hAnsi="Times New Roman" w:cs="Times New Roman"/>
          <w:b/>
          <w:sz w:val="24"/>
          <w:szCs w:val="24"/>
          <w:lang w:val="pl-PL"/>
        </w:rPr>
        <w:t xml:space="preserve"> według kryterium funkcji</w:t>
      </w:r>
    </w:p>
    <w:p w:rsidR="00EB1456" w:rsidRDefault="00EB1456" w:rsidP="00B16614">
      <w:pPr>
        <w:spacing w:line="360" w:lineRule="auto"/>
        <w:ind w:firstLine="720"/>
        <w:jc w:val="both"/>
        <w:rPr>
          <w:rFonts w:ascii="Times New Roman" w:hAnsi="Times New Roman" w:cs="Times New Roman"/>
          <w:sz w:val="24"/>
          <w:szCs w:val="24"/>
          <w:lang w:val="pl-PL"/>
        </w:rPr>
      </w:pPr>
      <w:r>
        <w:rPr>
          <w:rFonts w:ascii="Times New Roman" w:hAnsi="Times New Roman" w:cs="Times New Roman"/>
          <w:sz w:val="24"/>
          <w:szCs w:val="24"/>
          <w:lang w:val="pl-PL"/>
        </w:rPr>
        <w:t>Do analizy struktury wydatków publicznych w krajach ESW wykorzystano dane o wydatkach w podziale według funkcji, na pierwszym poziomie</w:t>
      </w:r>
      <w:r w:rsidR="00A0096E">
        <w:rPr>
          <w:rFonts w:ascii="Times New Roman" w:hAnsi="Times New Roman" w:cs="Times New Roman"/>
          <w:sz w:val="24"/>
          <w:szCs w:val="24"/>
          <w:lang w:val="pl-PL"/>
        </w:rPr>
        <w:t xml:space="preserve"> grupowania (klasyfikacja COFOG-</w:t>
      </w:r>
      <w:r>
        <w:rPr>
          <w:rFonts w:ascii="Times New Roman" w:hAnsi="Times New Roman" w:cs="Times New Roman"/>
          <w:sz w:val="24"/>
          <w:szCs w:val="24"/>
          <w:lang w:val="pl-PL"/>
        </w:rPr>
        <w:t>I)</w:t>
      </w:r>
      <w:r w:rsidR="00BF10B0">
        <w:rPr>
          <w:rFonts w:ascii="Times New Roman" w:hAnsi="Times New Roman" w:cs="Times New Roman"/>
          <w:sz w:val="24"/>
          <w:szCs w:val="24"/>
          <w:lang w:val="pl-PL"/>
        </w:rPr>
        <w:t xml:space="preserve">, </w:t>
      </w:r>
      <w:r>
        <w:rPr>
          <w:rFonts w:ascii="Times New Roman" w:hAnsi="Times New Roman" w:cs="Times New Roman"/>
          <w:sz w:val="24"/>
          <w:szCs w:val="24"/>
          <w:lang w:val="pl-PL"/>
        </w:rPr>
        <w:t>pozwala</w:t>
      </w:r>
      <w:r w:rsidR="00BF10B0">
        <w:rPr>
          <w:rFonts w:ascii="Times New Roman" w:hAnsi="Times New Roman" w:cs="Times New Roman"/>
          <w:sz w:val="24"/>
          <w:szCs w:val="24"/>
          <w:lang w:val="pl-PL"/>
        </w:rPr>
        <w:t>jąc</w:t>
      </w:r>
      <w:r w:rsidR="00031BB2">
        <w:rPr>
          <w:rFonts w:ascii="Times New Roman" w:hAnsi="Times New Roman" w:cs="Times New Roman"/>
          <w:sz w:val="24"/>
          <w:szCs w:val="24"/>
          <w:lang w:val="pl-PL"/>
        </w:rPr>
        <w:t>e</w:t>
      </w:r>
      <w:r>
        <w:rPr>
          <w:rFonts w:ascii="Times New Roman" w:hAnsi="Times New Roman" w:cs="Times New Roman"/>
          <w:sz w:val="24"/>
          <w:szCs w:val="24"/>
          <w:lang w:val="pl-PL"/>
        </w:rPr>
        <w:t xml:space="preserve"> wyodrębnić </w:t>
      </w:r>
      <w:r w:rsidR="00BF10B0">
        <w:rPr>
          <w:rFonts w:ascii="Times New Roman" w:hAnsi="Times New Roman" w:cs="Times New Roman"/>
          <w:sz w:val="24"/>
          <w:szCs w:val="24"/>
          <w:lang w:val="pl-PL"/>
        </w:rPr>
        <w:t xml:space="preserve">dziesięć obszarów (GF01-GF10). </w:t>
      </w:r>
      <w:r>
        <w:rPr>
          <w:rFonts w:ascii="Times New Roman" w:hAnsi="Times New Roman" w:cs="Times New Roman"/>
          <w:sz w:val="24"/>
          <w:szCs w:val="24"/>
          <w:lang w:val="pl-PL"/>
        </w:rPr>
        <w:t>Strukturę wydatków w poszczególnych krajach, opartą na średniej wysokości udziału poszczególnej grupy w wyda</w:t>
      </w:r>
      <w:r w:rsidR="00B46FD8">
        <w:rPr>
          <w:rFonts w:ascii="Times New Roman" w:hAnsi="Times New Roman" w:cs="Times New Roman"/>
          <w:sz w:val="24"/>
          <w:szCs w:val="24"/>
          <w:lang w:val="pl-PL"/>
        </w:rPr>
        <w:t>tkach ogółem w latach 2002-2014</w:t>
      </w:r>
      <w:r w:rsidR="00BF10B0">
        <w:rPr>
          <w:rFonts w:ascii="Times New Roman" w:hAnsi="Times New Roman" w:cs="Times New Roman"/>
          <w:sz w:val="24"/>
          <w:szCs w:val="24"/>
          <w:lang w:val="pl-PL"/>
        </w:rPr>
        <w:t>,</w:t>
      </w:r>
      <w:r>
        <w:rPr>
          <w:rFonts w:ascii="Times New Roman" w:hAnsi="Times New Roman" w:cs="Times New Roman"/>
          <w:sz w:val="24"/>
          <w:szCs w:val="24"/>
          <w:lang w:val="pl-PL"/>
        </w:rPr>
        <w:t xml:space="preserve"> przedstawia</w:t>
      </w:r>
      <w:r w:rsidR="00443DBC">
        <w:rPr>
          <w:rFonts w:ascii="Times New Roman" w:hAnsi="Times New Roman" w:cs="Times New Roman"/>
          <w:sz w:val="24"/>
          <w:szCs w:val="24"/>
          <w:lang w:val="pl-PL"/>
        </w:rPr>
        <w:t xml:space="preserve"> </w:t>
      </w:r>
      <w:r>
        <w:rPr>
          <w:rFonts w:ascii="Times New Roman" w:hAnsi="Times New Roman" w:cs="Times New Roman"/>
          <w:sz w:val="24"/>
          <w:szCs w:val="24"/>
          <w:lang w:val="pl-PL"/>
        </w:rPr>
        <w:t xml:space="preserve">tabela </w:t>
      </w:r>
      <w:r w:rsidR="00426979">
        <w:rPr>
          <w:rFonts w:ascii="Times New Roman" w:hAnsi="Times New Roman" w:cs="Times New Roman"/>
          <w:sz w:val="24"/>
          <w:szCs w:val="24"/>
          <w:lang w:val="pl-PL"/>
        </w:rPr>
        <w:t>2</w:t>
      </w:r>
      <w:r w:rsidR="00443DBC">
        <w:rPr>
          <w:rFonts w:ascii="Times New Roman" w:hAnsi="Times New Roman" w:cs="Times New Roman"/>
          <w:sz w:val="24"/>
          <w:szCs w:val="24"/>
          <w:lang w:val="pl-PL"/>
        </w:rPr>
        <w:t>.</w:t>
      </w:r>
    </w:p>
    <w:p w:rsidR="007133A6" w:rsidRPr="00FE7963" w:rsidRDefault="00FE7963" w:rsidP="00FE7963">
      <w:pPr>
        <w:spacing w:after="0" w:line="360" w:lineRule="auto"/>
        <w:rPr>
          <w:rFonts w:ascii="Times New Roman" w:hAnsi="Times New Roman" w:cs="Times New Roman"/>
          <w:sz w:val="20"/>
          <w:szCs w:val="24"/>
          <w:lang w:val="pl-PL"/>
        </w:rPr>
      </w:pPr>
      <w:r w:rsidRPr="00FE7963">
        <w:rPr>
          <w:rFonts w:ascii="Times New Roman" w:hAnsi="Times New Roman" w:cs="Times New Roman"/>
          <w:sz w:val="20"/>
          <w:szCs w:val="24"/>
          <w:lang w:val="pl-PL"/>
        </w:rPr>
        <w:t xml:space="preserve">Tabela </w:t>
      </w:r>
      <w:r w:rsidR="00426979">
        <w:rPr>
          <w:rFonts w:ascii="Times New Roman" w:hAnsi="Times New Roman" w:cs="Times New Roman"/>
          <w:sz w:val="20"/>
          <w:szCs w:val="24"/>
          <w:lang w:val="pl-PL"/>
        </w:rPr>
        <w:t>2</w:t>
      </w:r>
      <w:r w:rsidRPr="00FE7963">
        <w:rPr>
          <w:rFonts w:ascii="Times New Roman" w:hAnsi="Times New Roman" w:cs="Times New Roman"/>
          <w:sz w:val="20"/>
          <w:szCs w:val="24"/>
          <w:lang w:val="pl-PL"/>
        </w:rPr>
        <w:t xml:space="preserve">. </w:t>
      </w:r>
      <w:r w:rsidR="00F6398B" w:rsidRPr="00FE7963">
        <w:rPr>
          <w:rFonts w:ascii="Times New Roman" w:hAnsi="Times New Roman" w:cs="Times New Roman"/>
          <w:sz w:val="20"/>
          <w:szCs w:val="24"/>
          <w:lang w:val="pl-PL"/>
        </w:rPr>
        <w:t>Struktura wydatków wg kryterium funkcji (COFOG</w:t>
      </w:r>
      <w:r w:rsidR="00A0096E">
        <w:rPr>
          <w:rFonts w:ascii="Times New Roman" w:hAnsi="Times New Roman" w:cs="Times New Roman"/>
          <w:sz w:val="20"/>
          <w:szCs w:val="24"/>
          <w:lang w:val="pl-PL"/>
        </w:rPr>
        <w:t>-I</w:t>
      </w:r>
      <w:r w:rsidR="00F6398B" w:rsidRPr="00FE7963">
        <w:rPr>
          <w:rFonts w:ascii="Times New Roman" w:hAnsi="Times New Roman" w:cs="Times New Roman"/>
          <w:sz w:val="20"/>
          <w:szCs w:val="24"/>
          <w:lang w:val="pl-PL"/>
        </w:rPr>
        <w:t>), średnie dla okresu 2002-2014</w:t>
      </w:r>
    </w:p>
    <w:tbl>
      <w:tblPr>
        <w:tblStyle w:val="Tabela-Siatka"/>
        <w:tblW w:w="0" w:type="auto"/>
        <w:tblBorders>
          <w:insideH w:val="none" w:sz="0" w:space="0" w:color="auto"/>
          <w:insideV w:val="none" w:sz="0" w:space="0" w:color="auto"/>
        </w:tblBorders>
        <w:tblLook w:val="04A0" w:firstRow="1" w:lastRow="0" w:firstColumn="1" w:lastColumn="0" w:noHBand="0" w:noVBand="1"/>
      </w:tblPr>
      <w:tblGrid>
        <w:gridCol w:w="1083"/>
        <w:gridCol w:w="672"/>
        <w:gridCol w:w="672"/>
        <w:gridCol w:w="672"/>
        <w:gridCol w:w="672"/>
        <w:gridCol w:w="672"/>
        <w:gridCol w:w="672"/>
        <w:gridCol w:w="672"/>
        <w:gridCol w:w="672"/>
        <w:gridCol w:w="672"/>
        <w:gridCol w:w="672"/>
        <w:gridCol w:w="1135"/>
      </w:tblGrid>
      <w:tr w:rsidR="00F6398B" w:rsidRPr="007F605E" w:rsidTr="00894D60">
        <w:trPr>
          <w:trHeight w:val="225"/>
        </w:trPr>
        <w:tc>
          <w:tcPr>
            <w:tcW w:w="1083" w:type="dxa"/>
            <w:tcBorders>
              <w:bottom w:val="nil"/>
            </w:tcBorders>
            <w:shd w:val="clear" w:color="auto" w:fill="auto"/>
            <w:noWrap/>
          </w:tcPr>
          <w:p w:rsidR="00F6398B" w:rsidRPr="00F6398B" w:rsidRDefault="00F6398B" w:rsidP="00F6398B">
            <w:pPr>
              <w:spacing w:line="276" w:lineRule="auto"/>
              <w:rPr>
                <w:rFonts w:ascii="Times New Roman" w:hAnsi="Times New Roman" w:cs="Times New Roman"/>
                <w:sz w:val="20"/>
                <w:szCs w:val="20"/>
                <w:lang w:val="pl-PL"/>
              </w:rPr>
            </w:pPr>
          </w:p>
        </w:tc>
        <w:tc>
          <w:tcPr>
            <w:tcW w:w="6720" w:type="dxa"/>
            <w:gridSpan w:val="10"/>
            <w:tcBorders>
              <w:bottom w:val="nil"/>
            </w:tcBorders>
            <w:shd w:val="clear" w:color="auto" w:fill="auto"/>
            <w:noWrap/>
          </w:tcPr>
          <w:p w:rsidR="00F6398B" w:rsidRPr="007133A6" w:rsidRDefault="00F6398B" w:rsidP="00F6398B">
            <w:pPr>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Struktura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wydatków</w:t>
            </w:r>
            <w:proofErr w:type="spellEnd"/>
            <w:r>
              <w:rPr>
                <w:rFonts w:ascii="Times New Roman" w:hAnsi="Times New Roman" w:cs="Times New Roman"/>
                <w:sz w:val="20"/>
                <w:szCs w:val="20"/>
              </w:rPr>
              <w:t xml:space="preserve"> </w:t>
            </w:r>
            <w:r w:rsidR="00EB1456">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wydatków</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ogółem</w:t>
            </w:r>
            <w:proofErr w:type="spellEnd"/>
            <w:r>
              <w:rPr>
                <w:rFonts w:ascii="Times New Roman" w:hAnsi="Times New Roman" w:cs="Times New Roman"/>
                <w:sz w:val="20"/>
                <w:szCs w:val="20"/>
              </w:rPr>
              <w:t>)</w:t>
            </w:r>
          </w:p>
        </w:tc>
        <w:tc>
          <w:tcPr>
            <w:tcW w:w="1135" w:type="dxa"/>
            <w:vMerge w:val="restart"/>
            <w:tcBorders>
              <w:top w:val="single" w:sz="4" w:space="0" w:color="auto"/>
              <w:bottom w:val="single" w:sz="4" w:space="0" w:color="auto"/>
            </w:tcBorders>
            <w:shd w:val="clear" w:color="auto" w:fill="auto"/>
            <w:noWrap/>
            <w:vAlign w:val="center"/>
          </w:tcPr>
          <w:p w:rsidR="003B3DD0" w:rsidRPr="00BF10B0" w:rsidRDefault="00F6398B" w:rsidP="00310BB8">
            <w:pPr>
              <w:jc w:val="center"/>
              <w:rPr>
                <w:rFonts w:ascii="Times New Roman" w:hAnsi="Times New Roman" w:cs="Times New Roman"/>
                <w:sz w:val="20"/>
                <w:szCs w:val="20"/>
                <w:lang w:val="pl-PL"/>
              </w:rPr>
            </w:pPr>
            <w:r w:rsidRPr="00BF10B0">
              <w:rPr>
                <w:rFonts w:ascii="Times New Roman" w:hAnsi="Times New Roman" w:cs="Times New Roman"/>
                <w:sz w:val="20"/>
                <w:szCs w:val="20"/>
                <w:lang w:val="pl-PL"/>
              </w:rPr>
              <w:t>Wydatki ogółem w % PKB</w:t>
            </w:r>
          </w:p>
          <w:p w:rsidR="00031BB2" w:rsidRPr="00BF10B0" w:rsidRDefault="00031BB2" w:rsidP="00310BB8">
            <w:pPr>
              <w:spacing w:line="276" w:lineRule="auto"/>
              <w:jc w:val="center"/>
              <w:rPr>
                <w:rFonts w:ascii="Times New Roman" w:hAnsi="Times New Roman" w:cs="Times New Roman"/>
                <w:sz w:val="20"/>
                <w:szCs w:val="20"/>
                <w:lang w:val="pl-PL"/>
              </w:rPr>
            </w:pPr>
          </w:p>
        </w:tc>
      </w:tr>
      <w:tr w:rsidR="00443DBC" w:rsidRPr="00BF10B0" w:rsidTr="00894D60">
        <w:trPr>
          <w:trHeight w:val="1497"/>
        </w:trPr>
        <w:tc>
          <w:tcPr>
            <w:tcW w:w="1083" w:type="dxa"/>
            <w:tcBorders>
              <w:top w:val="nil"/>
              <w:bottom w:val="nil"/>
            </w:tcBorders>
            <w:shd w:val="clear" w:color="auto" w:fill="auto"/>
            <w:noWrap/>
            <w:vAlign w:val="center"/>
          </w:tcPr>
          <w:p w:rsidR="00443DBC" w:rsidRPr="00BF10B0" w:rsidRDefault="00310BB8" w:rsidP="00310BB8">
            <w:pPr>
              <w:jc w:val="center"/>
              <w:rPr>
                <w:rFonts w:ascii="Times New Roman" w:hAnsi="Times New Roman" w:cs="Times New Roman"/>
                <w:sz w:val="20"/>
                <w:szCs w:val="20"/>
                <w:lang w:val="pl-PL"/>
              </w:rPr>
            </w:pPr>
            <w:r>
              <w:rPr>
                <w:rFonts w:ascii="Times New Roman" w:hAnsi="Times New Roman" w:cs="Times New Roman"/>
                <w:sz w:val="20"/>
                <w:szCs w:val="20"/>
                <w:lang w:val="pl-PL"/>
              </w:rPr>
              <w:t>Kraj</w:t>
            </w:r>
          </w:p>
        </w:tc>
        <w:tc>
          <w:tcPr>
            <w:tcW w:w="672" w:type="dxa"/>
            <w:tcBorders>
              <w:top w:val="nil"/>
              <w:bottom w:val="nil"/>
            </w:tcBorders>
            <w:shd w:val="clear" w:color="auto" w:fill="auto"/>
            <w:noWrap/>
            <w:textDirection w:val="btLr"/>
          </w:tcPr>
          <w:p w:rsidR="00443DBC" w:rsidRPr="002B2E44" w:rsidRDefault="00443DBC" w:rsidP="00C26615">
            <w:pPr>
              <w:ind w:left="113" w:right="113"/>
              <w:rPr>
                <w:rFonts w:ascii="Times New Roman" w:hAnsi="Times New Roman" w:cs="Times New Roman"/>
                <w:sz w:val="16"/>
                <w:szCs w:val="16"/>
                <w:lang w:val="pl-PL"/>
              </w:rPr>
            </w:pPr>
            <w:r w:rsidRPr="002B2E44">
              <w:rPr>
                <w:rFonts w:ascii="Times New Roman" w:hAnsi="Times New Roman" w:cs="Times New Roman"/>
                <w:sz w:val="16"/>
                <w:szCs w:val="16"/>
                <w:lang w:val="pl-PL"/>
              </w:rPr>
              <w:t>Sprawy ogólnopaństwowe</w:t>
            </w:r>
          </w:p>
        </w:tc>
        <w:tc>
          <w:tcPr>
            <w:tcW w:w="672" w:type="dxa"/>
            <w:tcBorders>
              <w:top w:val="nil"/>
              <w:bottom w:val="nil"/>
            </w:tcBorders>
            <w:shd w:val="clear" w:color="auto" w:fill="auto"/>
            <w:noWrap/>
            <w:textDirection w:val="btLr"/>
          </w:tcPr>
          <w:p w:rsidR="00443DBC" w:rsidRPr="002B2E44" w:rsidRDefault="00443DBC" w:rsidP="00C26615">
            <w:pPr>
              <w:ind w:left="113" w:right="113"/>
              <w:rPr>
                <w:rFonts w:ascii="Times New Roman" w:hAnsi="Times New Roman" w:cs="Times New Roman"/>
                <w:sz w:val="16"/>
                <w:szCs w:val="16"/>
                <w:lang w:val="pl-PL"/>
              </w:rPr>
            </w:pPr>
            <w:r>
              <w:rPr>
                <w:rFonts w:ascii="Times New Roman" w:hAnsi="Times New Roman" w:cs="Times New Roman"/>
                <w:sz w:val="16"/>
                <w:szCs w:val="16"/>
                <w:lang w:val="pl-PL"/>
              </w:rPr>
              <w:t>Obrona narodowa</w:t>
            </w:r>
          </w:p>
        </w:tc>
        <w:tc>
          <w:tcPr>
            <w:tcW w:w="672" w:type="dxa"/>
            <w:tcBorders>
              <w:top w:val="nil"/>
              <w:bottom w:val="nil"/>
            </w:tcBorders>
            <w:shd w:val="clear" w:color="auto" w:fill="auto"/>
            <w:noWrap/>
            <w:textDirection w:val="btLr"/>
          </w:tcPr>
          <w:p w:rsidR="00443DBC" w:rsidRPr="002B2E44" w:rsidRDefault="00443DBC" w:rsidP="00C26615">
            <w:pPr>
              <w:ind w:left="113" w:right="113"/>
              <w:rPr>
                <w:rFonts w:ascii="Times New Roman" w:hAnsi="Times New Roman" w:cs="Times New Roman"/>
                <w:sz w:val="16"/>
                <w:szCs w:val="16"/>
                <w:lang w:val="pl-PL"/>
              </w:rPr>
            </w:pPr>
            <w:r>
              <w:rPr>
                <w:rFonts w:ascii="Times New Roman" w:hAnsi="Times New Roman" w:cs="Times New Roman"/>
                <w:sz w:val="16"/>
                <w:szCs w:val="16"/>
                <w:lang w:val="pl-PL"/>
              </w:rPr>
              <w:t>Porządek publiczny i bezpieczeństwo</w:t>
            </w:r>
          </w:p>
        </w:tc>
        <w:tc>
          <w:tcPr>
            <w:tcW w:w="672" w:type="dxa"/>
            <w:tcBorders>
              <w:top w:val="nil"/>
              <w:bottom w:val="nil"/>
            </w:tcBorders>
            <w:shd w:val="clear" w:color="auto" w:fill="auto"/>
            <w:noWrap/>
            <w:textDirection w:val="btLr"/>
          </w:tcPr>
          <w:p w:rsidR="00443DBC" w:rsidRPr="002B2E44" w:rsidRDefault="00443DBC" w:rsidP="00C26615">
            <w:pPr>
              <w:ind w:left="113" w:right="113"/>
              <w:rPr>
                <w:rFonts w:ascii="Times New Roman" w:hAnsi="Times New Roman" w:cs="Times New Roman"/>
                <w:sz w:val="16"/>
                <w:szCs w:val="16"/>
                <w:lang w:val="pl-PL"/>
              </w:rPr>
            </w:pPr>
            <w:r>
              <w:rPr>
                <w:rFonts w:ascii="Times New Roman" w:hAnsi="Times New Roman" w:cs="Times New Roman"/>
                <w:sz w:val="16"/>
                <w:szCs w:val="16"/>
                <w:lang w:val="pl-PL"/>
              </w:rPr>
              <w:t>Sprawy gospodarcze</w:t>
            </w:r>
          </w:p>
        </w:tc>
        <w:tc>
          <w:tcPr>
            <w:tcW w:w="672" w:type="dxa"/>
            <w:tcBorders>
              <w:top w:val="nil"/>
              <w:bottom w:val="nil"/>
            </w:tcBorders>
            <w:shd w:val="clear" w:color="auto" w:fill="auto"/>
            <w:noWrap/>
            <w:textDirection w:val="btLr"/>
          </w:tcPr>
          <w:p w:rsidR="00443DBC" w:rsidRPr="002B2E44" w:rsidRDefault="00443DBC" w:rsidP="00C26615">
            <w:pPr>
              <w:ind w:left="113" w:right="113"/>
              <w:rPr>
                <w:rFonts w:ascii="Times New Roman" w:hAnsi="Times New Roman" w:cs="Times New Roman"/>
                <w:sz w:val="16"/>
                <w:szCs w:val="16"/>
                <w:lang w:val="pl-PL"/>
              </w:rPr>
            </w:pPr>
            <w:r>
              <w:rPr>
                <w:rFonts w:ascii="Times New Roman" w:hAnsi="Times New Roman" w:cs="Times New Roman"/>
                <w:sz w:val="16"/>
                <w:szCs w:val="16"/>
                <w:lang w:val="pl-PL"/>
              </w:rPr>
              <w:t>Ochrona środowiska</w:t>
            </w:r>
          </w:p>
        </w:tc>
        <w:tc>
          <w:tcPr>
            <w:tcW w:w="672" w:type="dxa"/>
            <w:tcBorders>
              <w:top w:val="nil"/>
              <w:bottom w:val="nil"/>
            </w:tcBorders>
            <w:shd w:val="clear" w:color="auto" w:fill="auto"/>
            <w:noWrap/>
            <w:textDirection w:val="btLr"/>
          </w:tcPr>
          <w:p w:rsidR="00443DBC" w:rsidRPr="002B2E44" w:rsidRDefault="00443DBC" w:rsidP="00C26615">
            <w:pPr>
              <w:ind w:left="113" w:right="113"/>
              <w:rPr>
                <w:rFonts w:ascii="Times New Roman" w:hAnsi="Times New Roman" w:cs="Times New Roman"/>
                <w:sz w:val="16"/>
                <w:szCs w:val="16"/>
                <w:lang w:val="pl-PL"/>
              </w:rPr>
            </w:pPr>
            <w:r>
              <w:rPr>
                <w:rFonts w:ascii="Times New Roman" w:hAnsi="Times New Roman" w:cs="Times New Roman"/>
                <w:sz w:val="16"/>
                <w:szCs w:val="16"/>
                <w:lang w:val="pl-PL"/>
              </w:rPr>
              <w:t>Gospodarka mieszkaniowa i komunalna</w:t>
            </w:r>
          </w:p>
        </w:tc>
        <w:tc>
          <w:tcPr>
            <w:tcW w:w="672" w:type="dxa"/>
            <w:tcBorders>
              <w:top w:val="nil"/>
              <w:bottom w:val="nil"/>
            </w:tcBorders>
            <w:shd w:val="clear" w:color="auto" w:fill="auto"/>
            <w:noWrap/>
            <w:textDirection w:val="btLr"/>
          </w:tcPr>
          <w:p w:rsidR="00443DBC" w:rsidRPr="002B2E44" w:rsidRDefault="00443DBC" w:rsidP="00C26615">
            <w:pPr>
              <w:ind w:left="113" w:right="113"/>
              <w:rPr>
                <w:rFonts w:ascii="Times New Roman" w:hAnsi="Times New Roman" w:cs="Times New Roman"/>
                <w:sz w:val="16"/>
                <w:szCs w:val="16"/>
                <w:lang w:val="pl-PL"/>
              </w:rPr>
            </w:pPr>
            <w:r>
              <w:rPr>
                <w:rFonts w:ascii="Times New Roman" w:hAnsi="Times New Roman" w:cs="Times New Roman"/>
                <w:sz w:val="16"/>
                <w:szCs w:val="16"/>
                <w:lang w:val="pl-PL"/>
              </w:rPr>
              <w:t>Ochrona zdrowia</w:t>
            </w:r>
          </w:p>
        </w:tc>
        <w:tc>
          <w:tcPr>
            <w:tcW w:w="672" w:type="dxa"/>
            <w:tcBorders>
              <w:top w:val="nil"/>
              <w:bottom w:val="nil"/>
            </w:tcBorders>
            <w:shd w:val="clear" w:color="auto" w:fill="auto"/>
            <w:noWrap/>
            <w:textDirection w:val="btLr"/>
          </w:tcPr>
          <w:p w:rsidR="00443DBC" w:rsidRPr="002B2E44" w:rsidRDefault="00443DBC" w:rsidP="00C26615">
            <w:pPr>
              <w:ind w:left="113" w:right="113"/>
              <w:rPr>
                <w:rFonts w:ascii="Times New Roman" w:hAnsi="Times New Roman" w:cs="Times New Roman"/>
                <w:sz w:val="16"/>
                <w:szCs w:val="16"/>
                <w:lang w:val="pl-PL"/>
              </w:rPr>
            </w:pPr>
            <w:r>
              <w:rPr>
                <w:rFonts w:ascii="Times New Roman" w:hAnsi="Times New Roman" w:cs="Times New Roman"/>
                <w:sz w:val="16"/>
                <w:szCs w:val="16"/>
                <w:lang w:val="pl-PL"/>
              </w:rPr>
              <w:t>Wypoczynek, kultura, religia</w:t>
            </w:r>
          </w:p>
        </w:tc>
        <w:tc>
          <w:tcPr>
            <w:tcW w:w="672" w:type="dxa"/>
            <w:tcBorders>
              <w:top w:val="nil"/>
              <w:bottom w:val="nil"/>
            </w:tcBorders>
            <w:shd w:val="clear" w:color="auto" w:fill="auto"/>
            <w:noWrap/>
            <w:textDirection w:val="btLr"/>
          </w:tcPr>
          <w:p w:rsidR="00443DBC" w:rsidRPr="002B2E44" w:rsidRDefault="00443DBC" w:rsidP="00C26615">
            <w:pPr>
              <w:ind w:left="113" w:right="113"/>
              <w:rPr>
                <w:rFonts w:ascii="Times New Roman" w:hAnsi="Times New Roman" w:cs="Times New Roman"/>
                <w:sz w:val="16"/>
                <w:szCs w:val="16"/>
                <w:lang w:val="pl-PL"/>
              </w:rPr>
            </w:pPr>
            <w:r>
              <w:rPr>
                <w:rFonts w:ascii="Times New Roman" w:hAnsi="Times New Roman" w:cs="Times New Roman"/>
                <w:sz w:val="16"/>
                <w:szCs w:val="16"/>
                <w:lang w:val="pl-PL"/>
              </w:rPr>
              <w:t>Edukacja</w:t>
            </w:r>
          </w:p>
        </w:tc>
        <w:tc>
          <w:tcPr>
            <w:tcW w:w="672" w:type="dxa"/>
            <w:tcBorders>
              <w:top w:val="nil"/>
              <w:bottom w:val="nil"/>
            </w:tcBorders>
            <w:shd w:val="clear" w:color="auto" w:fill="auto"/>
            <w:noWrap/>
            <w:textDirection w:val="btLr"/>
          </w:tcPr>
          <w:p w:rsidR="00443DBC" w:rsidRPr="002B2E44" w:rsidRDefault="00443DBC" w:rsidP="00C26615">
            <w:pPr>
              <w:ind w:left="113" w:right="113"/>
              <w:rPr>
                <w:rFonts w:ascii="Times New Roman" w:hAnsi="Times New Roman" w:cs="Times New Roman"/>
                <w:sz w:val="16"/>
                <w:szCs w:val="16"/>
                <w:lang w:val="pl-PL"/>
              </w:rPr>
            </w:pPr>
            <w:r w:rsidRPr="002B2E44">
              <w:rPr>
                <w:rFonts w:ascii="Times New Roman" w:hAnsi="Times New Roman" w:cs="Times New Roman"/>
                <w:sz w:val="16"/>
                <w:szCs w:val="16"/>
                <w:lang w:val="pl-PL"/>
              </w:rPr>
              <w:t>Opieka społeczna</w:t>
            </w:r>
          </w:p>
        </w:tc>
        <w:tc>
          <w:tcPr>
            <w:tcW w:w="1135" w:type="dxa"/>
            <w:vMerge/>
            <w:tcBorders>
              <w:top w:val="nil"/>
              <w:bottom w:val="single" w:sz="4" w:space="0" w:color="auto"/>
            </w:tcBorders>
            <w:shd w:val="clear" w:color="auto" w:fill="auto"/>
            <w:noWrap/>
          </w:tcPr>
          <w:p w:rsidR="00443DBC" w:rsidRPr="00BF10B0" w:rsidRDefault="00443DBC" w:rsidP="00F6398B">
            <w:pPr>
              <w:rPr>
                <w:rFonts w:ascii="Times New Roman" w:hAnsi="Times New Roman" w:cs="Times New Roman"/>
                <w:sz w:val="20"/>
                <w:szCs w:val="20"/>
                <w:lang w:val="pl-PL"/>
              </w:rPr>
            </w:pPr>
          </w:p>
        </w:tc>
      </w:tr>
      <w:tr w:rsidR="00F6398B" w:rsidRPr="00BF10B0" w:rsidTr="00894D60">
        <w:trPr>
          <w:trHeight w:val="225"/>
        </w:trPr>
        <w:tc>
          <w:tcPr>
            <w:tcW w:w="1083" w:type="dxa"/>
            <w:tcBorders>
              <w:top w:val="nil"/>
              <w:bottom w:val="single" w:sz="4" w:space="0" w:color="auto"/>
            </w:tcBorders>
            <w:shd w:val="clear" w:color="auto" w:fill="auto"/>
            <w:noWrap/>
            <w:hideMark/>
          </w:tcPr>
          <w:p w:rsidR="00F6398B" w:rsidRPr="00BF10B0" w:rsidRDefault="00F6398B" w:rsidP="00F6398B">
            <w:pPr>
              <w:spacing w:line="276" w:lineRule="auto"/>
              <w:rPr>
                <w:rFonts w:ascii="Times New Roman" w:hAnsi="Times New Roman" w:cs="Times New Roman"/>
                <w:sz w:val="20"/>
                <w:szCs w:val="20"/>
                <w:lang w:val="pl-PL"/>
              </w:rPr>
            </w:pPr>
            <w:r w:rsidRPr="00BF10B0">
              <w:rPr>
                <w:rFonts w:ascii="Times New Roman" w:hAnsi="Times New Roman" w:cs="Times New Roman"/>
                <w:sz w:val="20"/>
                <w:szCs w:val="20"/>
                <w:lang w:val="pl-PL"/>
              </w:rPr>
              <w:t> </w:t>
            </w:r>
          </w:p>
        </w:tc>
        <w:tc>
          <w:tcPr>
            <w:tcW w:w="672" w:type="dxa"/>
            <w:tcBorders>
              <w:top w:val="nil"/>
              <w:bottom w:val="single" w:sz="4" w:space="0" w:color="auto"/>
            </w:tcBorders>
            <w:shd w:val="clear" w:color="auto" w:fill="auto"/>
            <w:noWrap/>
            <w:hideMark/>
          </w:tcPr>
          <w:p w:rsidR="00F6398B" w:rsidRPr="00BF10B0" w:rsidRDefault="00F6398B" w:rsidP="00F6398B">
            <w:pPr>
              <w:spacing w:line="276" w:lineRule="auto"/>
              <w:rPr>
                <w:rFonts w:ascii="Times New Roman" w:hAnsi="Times New Roman" w:cs="Times New Roman"/>
                <w:sz w:val="20"/>
                <w:szCs w:val="20"/>
                <w:lang w:val="pl-PL"/>
              </w:rPr>
            </w:pPr>
            <w:r w:rsidRPr="00BF10B0">
              <w:rPr>
                <w:rFonts w:ascii="Times New Roman" w:hAnsi="Times New Roman" w:cs="Times New Roman"/>
                <w:sz w:val="20"/>
                <w:szCs w:val="20"/>
                <w:lang w:val="pl-PL"/>
              </w:rPr>
              <w:t>GF01</w:t>
            </w:r>
          </w:p>
        </w:tc>
        <w:tc>
          <w:tcPr>
            <w:tcW w:w="672" w:type="dxa"/>
            <w:tcBorders>
              <w:top w:val="nil"/>
              <w:bottom w:val="single" w:sz="4" w:space="0" w:color="auto"/>
            </w:tcBorders>
            <w:shd w:val="clear" w:color="auto" w:fill="auto"/>
            <w:noWrap/>
            <w:hideMark/>
          </w:tcPr>
          <w:p w:rsidR="00F6398B" w:rsidRPr="00BF10B0" w:rsidRDefault="00F6398B" w:rsidP="00F6398B">
            <w:pPr>
              <w:spacing w:line="276" w:lineRule="auto"/>
              <w:rPr>
                <w:rFonts w:ascii="Times New Roman" w:hAnsi="Times New Roman" w:cs="Times New Roman"/>
                <w:sz w:val="20"/>
                <w:szCs w:val="20"/>
                <w:lang w:val="pl-PL"/>
              </w:rPr>
            </w:pPr>
            <w:r w:rsidRPr="00BF10B0">
              <w:rPr>
                <w:rFonts w:ascii="Times New Roman" w:hAnsi="Times New Roman" w:cs="Times New Roman"/>
                <w:sz w:val="20"/>
                <w:szCs w:val="20"/>
                <w:lang w:val="pl-PL"/>
              </w:rPr>
              <w:t>GF02</w:t>
            </w:r>
          </w:p>
        </w:tc>
        <w:tc>
          <w:tcPr>
            <w:tcW w:w="672" w:type="dxa"/>
            <w:tcBorders>
              <w:top w:val="nil"/>
              <w:bottom w:val="single" w:sz="4" w:space="0" w:color="auto"/>
            </w:tcBorders>
            <w:shd w:val="clear" w:color="auto" w:fill="auto"/>
            <w:noWrap/>
            <w:hideMark/>
          </w:tcPr>
          <w:p w:rsidR="00F6398B" w:rsidRPr="00BF10B0" w:rsidRDefault="00F6398B" w:rsidP="00F6398B">
            <w:pPr>
              <w:spacing w:line="276" w:lineRule="auto"/>
              <w:rPr>
                <w:rFonts w:ascii="Times New Roman" w:hAnsi="Times New Roman" w:cs="Times New Roman"/>
                <w:sz w:val="20"/>
                <w:szCs w:val="20"/>
                <w:lang w:val="pl-PL"/>
              </w:rPr>
            </w:pPr>
            <w:r w:rsidRPr="00BF10B0">
              <w:rPr>
                <w:rFonts w:ascii="Times New Roman" w:hAnsi="Times New Roman" w:cs="Times New Roman"/>
                <w:sz w:val="20"/>
                <w:szCs w:val="20"/>
                <w:lang w:val="pl-PL"/>
              </w:rPr>
              <w:t>GF03</w:t>
            </w:r>
          </w:p>
        </w:tc>
        <w:tc>
          <w:tcPr>
            <w:tcW w:w="672" w:type="dxa"/>
            <w:tcBorders>
              <w:top w:val="nil"/>
              <w:bottom w:val="single" w:sz="4" w:space="0" w:color="auto"/>
            </w:tcBorders>
            <w:shd w:val="clear" w:color="auto" w:fill="auto"/>
            <w:noWrap/>
            <w:hideMark/>
          </w:tcPr>
          <w:p w:rsidR="00F6398B" w:rsidRPr="00BF10B0" w:rsidRDefault="00F6398B" w:rsidP="00F6398B">
            <w:pPr>
              <w:spacing w:line="276" w:lineRule="auto"/>
              <w:rPr>
                <w:rFonts w:ascii="Times New Roman" w:hAnsi="Times New Roman" w:cs="Times New Roman"/>
                <w:sz w:val="20"/>
                <w:szCs w:val="20"/>
                <w:lang w:val="pl-PL"/>
              </w:rPr>
            </w:pPr>
            <w:r w:rsidRPr="00BF10B0">
              <w:rPr>
                <w:rFonts w:ascii="Times New Roman" w:hAnsi="Times New Roman" w:cs="Times New Roman"/>
                <w:sz w:val="20"/>
                <w:szCs w:val="20"/>
                <w:lang w:val="pl-PL"/>
              </w:rPr>
              <w:t>GF04</w:t>
            </w:r>
          </w:p>
        </w:tc>
        <w:tc>
          <w:tcPr>
            <w:tcW w:w="672" w:type="dxa"/>
            <w:tcBorders>
              <w:top w:val="nil"/>
              <w:bottom w:val="single" w:sz="4" w:space="0" w:color="auto"/>
            </w:tcBorders>
            <w:shd w:val="clear" w:color="auto" w:fill="auto"/>
            <w:noWrap/>
            <w:hideMark/>
          </w:tcPr>
          <w:p w:rsidR="00F6398B" w:rsidRPr="00BF10B0" w:rsidRDefault="00F6398B" w:rsidP="00F6398B">
            <w:pPr>
              <w:spacing w:line="276" w:lineRule="auto"/>
              <w:rPr>
                <w:rFonts w:ascii="Times New Roman" w:hAnsi="Times New Roman" w:cs="Times New Roman"/>
                <w:sz w:val="20"/>
                <w:szCs w:val="20"/>
                <w:lang w:val="pl-PL"/>
              </w:rPr>
            </w:pPr>
            <w:r w:rsidRPr="00BF10B0">
              <w:rPr>
                <w:rFonts w:ascii="Times New Roman" w:hAnsi="Times New Roman" w:cs="Times New Roman"/>
                <w:sz w:val="20"/>
                <w:szCs w:val="20"/>
                <w:lang w:val="pl-PL"/>
              </w:rPr>
              <w:t>GF05</w:t>
            </w:r>
          </w:p>
        </w:tc>
        <w:tc>
          <w:tcPr>
            <w:tcW w:w="672" w:type="dxa"/>
            <w:tcBorders>
              <w:top w:val="nil"/>
              <w:bottom w:val="single" w:sz="4" w:space="0" w:color="auto"/>
            </w:tcBorders>
            <w:shd w:val="clear" w:color="auto" w:fill="auto"/>
            <w:noWrap/>
            <w:hideMark/>
          </w:tcPr>
          <w:p w:rsidR="00F6398B" w:rsidRPr="00BF10B0" w:rsidRDefault="00F6398B" w:rsidP="00F6398B">
            <w:pPr>
              <w:spacing w:line="276" w:lineRule="auto"/>
              <w:rPr>
                <w:rFonts w:ascii="Times New Roman" w:hAnsi="Times New Roman" w:cs="Times New Roman"/>
                <w:sz w:val="20"/>
                <w:szCs w:val="20"/>
                <w:lang w:val="pl-PL"/>
              </w:rPr>
            </w:pPr>
            <w:r w:rsidRPr="00BF10B0">
              <w:rPr>
                <w:rFonts w:ascii="Times New Roman" w:hAnsi="Times New Roman" w:cs="Times New Roman"/>
                <w:sz w:val="20"/>
                <w:szCs w:val="20"/>
                <w:lang w:val="pl-PL"/>
              </w:rPr>
              <w:t>GF06</w:t>
            </w:r>
          </w:p>
        </w:tc>
        <w:tc>
          <w:tcPr>
            <w:tcW w:w="672" w:type="dxa"/>
            <w:tcBorders>
              <w:top w:val="nil"/>
              <w:bottom w:val="single" w:sz="4" w:space="0" w:color="auto"/>
            </w:tcBorders>
            <w:shd w:val="clear" w:color="auto" w:fill="auto"/>
            <w:noWrap/>
            <w:hideMark/>
          </w:tcPr>
          <w:p w:rsidR="00F6398B" w:rsidRPr="00BF10B0" w:rsidRDefault="00F6398B" w:rsidP="00F6398B">
            <w:pPr>
              <w:spacing w:line="276" w:lineRule="auto"/>
              <w:rPr>
                <w:rFonts w:ascii="Times New Roman" w:hAnsi="Times New Roman" w:cs="Times New Roman"/>
                <w:sz w:val="20"/>
                <w:szCs w:val="20"/>
                <w:lang w:val="pl-PL"/>
              </w:rPr>
            </w:pPr>
            <w:r w:rsidRPr="00BF10B0">
              <w:rPr>
                <w:rFonts w:ascii="Times New Roman" w:hAnsi="Times New Roman" w:cs="Times New Roman"/>
                <w:sz w:val="20"/>
                <w:szCs w:val="20"/>
                <w:lang w:val="pl-PL"/>
              </w:rPr>
              <w:t>GF07</w:t>
            </w:r>
          </w:p>
        </w:tc>
        <w:tc>
          <w:tcPr>
            <w:tcW w:w="672" w:type="dxa"/>
            <w:tcBorders>
              <w:top w:val="nil"/>
              <w:bottom w:val="single" w:sz="4" w:space="0" w:color="auto"/>
            </w:tcBorders>
            <w:shd w:val="clear" w:color="auto" w:fill="auto"/>
            <w:noWrap/>
            <w:hideMark/>
          </w:tcPr>
          <w:p w:rsidR="00F6398B" w:rsidRPr="00BF10B0" w:rsidRDefault="00F6398B" w:rsidP="00F6398B">
            <w:pPr>
              <w:spacing w:line="276" w:lineRule="auto"/>
              <w:rPr>
                <w:rFonts w:ascii="Times New Roman" w:hAnsi="Times New Roman" w:cs="Times New Roman"/>
                <w:sz w:val="20"/>
                <w:szCs w:val="20"/>
                <w:lang w:val="pl-PL"/>
              </w:rPr>
            </w:pPr>
            <w:r w:rsidRPr="00BF10B0">
              <w:rPr>
                <w:rFonts w:ascii="Times New Roman" w:hAnsi="Times New Roman" w:cs="Times New Roman"/>
                <w:sz w:val="20"/>
                <w:szCs w:val="20"/>
                <w:lang w:val="pl-PL"/>
              </w:rPr>
              <w:t>GF08</w:t>
            </w:r>
          </w:p>
        </w:tc>
        <w:tc>
          <w:tcPr>
            <w:tcW w:w="672" w:type="dxa"/>
            <w:tcBorders>
              <w:top w:val="nil"/>
              <w:bottom w:val="single" w:sz="4" w:space="0" w:color="auto"/>
            </w:tcBorders>
            <w:shd w:val="clear" w:color="auto" w:fill="auto"/>
            <w:noWrap/>
            <w:hideMark/>
          </w:tcPr>
          <w:p w:rsidR="00F6398B" w:rsidRPr="00BF10B0" w:rsidRDefault="00F6398B" w:rsidP="00F6398B">
            <w:pPr>
              <w:spacing w:line="276" w:lineRule="auto"/>
              <w:rPr>
                <w:rFonts w:ascii="Times New Roman" w:hAnsi="Times New Roman" w:cs="Times New Roman"/>
                <w:sz w:val="20"/>
                <w:szCs w:val="20"/>
                <w:lang w:val="pl-PL"/>
              </w:rPr>
            </w:pPr>
            <w:r w:rsidRPr="00BF10B0">
              <w:rPr>
                <w:rFonts w:ascii="Times New Roman" w:hAnsi="Times New Roman" w:cs="Times New Roman"/>
                <w:sz w:val="20"/>
                <w:szCs w:val="20"/>
                <w:lang w:val="pl-PL"/>
              </w:rPr>
              <w:t>GF09</w:t>
            </w:r>
          </w:p>
        </w:tc>
        <w:tc>
          <w:tcPr>
            <w:tcW w:w="672" w:type="dxa"/>
            <w:tcBorders>
              <w:top w:val="nil"/>
              <w:bottom w:val="single" w:sz="4" w:space="0" w:color="auto"/>
            </w:tcBorders>
            <w:shd w:val="clear" w:color="auto" w:fill="auto"/>
            <w:noWrap/>
            <w:hideMark/>
          </w:tcPr>
          <w:p w:rsidR="00F6398B" w:rsidRPr="00BF10B0" w:rsidRDefault="00F6398B" w:rsidP="00F6398B">
            <w:pPr>
              <w:spacing w:line="276" w:lineRule="auto"/>
              <w:rPr>
                <w:rFonts w:ascii="Times New Roman" w:hAnsi="Times New Roman" w:cs="Times New Roman"/>
                <w:sz w:val="20"/>
                <w:szCs w:val="20"/>
                <w:lang w:val="pl-PL"/>
              </w:rPr>
            </w:pPr>
            <w:r w:rsidRPr="00BF10B0">
              <w:rPr>
                <w:rFonts w:ascii="Times New Roman" w:hAnsi="Times New Roman" w:cs="Times New Roman"/>
                <w:sz w:val="20"/>
                <w:szCs w:val="20"/>
                <w:lang w:val="pl-PL"/>
              </w:rPr>
              <w:t>GF10</w:t>
            </w:r>
          </w:p>
        </w:tc>
        <w:tc>
          <w:tcPr>
            <w:tcW w:w="1135" w:type="dxa"/>
            <w:vMerge/>
            <w:tcBorders>
              <w:top w:val="nil"/>
              <w:bottom w:val="single" w:sz="4" w:space="0" w:color="auto"/>
            </w:tcBorders>
            <w:shd w:val="clear" w:color="auto" w:fill="auto"/>
            <w:noWrap/>
            <w:hideMark/>
          </w:tcPr>
          <w:p w:rsidR="00F6398B" w:rsidRPr="00BF10B0" w:rsidRDefault="00F6398B" w:rsidP="00F6398B">
            <w:pPr>
              <w:spacing w:line="276" w:lineRule="auto"/>
              <w:rPr>
                <w:rFonts w:ascii="Times New Roman" w:hAnsi="Times New Roman" w:cs="Times New Roman"/>
                <w:sz w:val="20"/>
                <w:szCs w:val="20"/>
                <w:lang w:val="pl-PL"/>
              </w:rPr>
            </w:pPr>
          </w:p>
        </w:tc>
      </w:tr>
      <w:tr w:rsidR="007133A6" w:rsidRPr="00BF10B0" w:rsidTr="00894D60">
        <w:trPr>
          <w:trHeight w:val="225"/>
        </w:trPr>
        <w:tc>
          <w:tcPr>
            <w:tcW w:w="1083" w:type="dxa"/>
            <w:tcBorders>
              <w:top w:val="single" w:sz="4" w:space="0" w:color="auto"/>
            </w:tcBorders>
            <w:noWrap/>
            <w:hideMark/>
          </w:tcPr>
          <w:p w:rsidR="007133A6" w:rsidRPr="00BF10B0" w:rsidRDefault="007133A6" w:rsidP="00BF10B0">
            <w:pPr>
              <w:spacing w:line="276" w:lineRule="auto"/>
              <w:rPr>
                <w:rFonts w:ascii="Times New Roman" w:hAnsi="Times New Roman" w:cs="Times New Roman"/>
                <w:sz w:val="20"/>
                <w:szCs w:val="20"/>
                <w:lang w:val="pl-PL"/>
              </w:rPr>
            </w:pPr>
            <w:r w:rsidRPr="00BF10B0">
              <w:rPr>
                <w:rFonts w:ascii="Times New Roman" w:hAnsi="Times New Roman" w:cs="Times New Roman"/>
                <w:sz w:val="20"/>
                <w:szCs w:val="20"/>
                <w:lang w:val="pl-PL"/>
              </w:rPr>
              <w:t>R</w:t>
            </w:r>
            <w:r w:rsidR="00BF10B0" w:rsidRPr="00BF10B0">
              <w:rPr>
                <w:rFonts w:ascii="Times New Roman" w:hAnsi="Times New Roman" w:cs="Times New Roman"/>
                <w:sz w:val="20"/>
                <w:szCs w:val="20"/>
                <w:lang w:val="pl-PL"/>
              </w:rPr>
              <w:t>umunia</w:t>
            </w:r>
          </w:p>
        </w:tc>
        <w:tc>
          <w:tcPr>
            <w:tcW w:w="672" w:type="dxa"/>
            <w:tcBorders>
              <w:top w:val="single" w:sz="4" w:space="0" w:color="auto"/>
            </w:tcBorders>
            <w:noWrap/>
            <w:hideMark/>
          </w:tcPr>
          <w:p w:rsidR="007133A6" w:rsidRPr="00BF10B0" w:rsidRDefault="007133A6" w:rsidP="00F6398B">
            <w:pPr>
              <w:spacing w:line="276" w:lineRule="auto"/>
              <w:jc w:val="center"/>
              <w:rPr>
                <w:rFonts w:ascii="Times New Roman" w:hAnsi="Times New Roman" w:cs="Times New Roman"/>
                <w:sz w:val="20"/>
                <w:szCs w:val="20"/>
                <w:lang w:val="pl-PL"/>
              </w:rPr>
            </w:pPr>
            <w:r w:rsidRPr="00BF10B0">
              <w:rPr>
                <w:rFonts w:ascii="Times New Roman" w:hAnsi="Times New Roman" w:cs="Times New Roman"/>
                <w:sz w:val="20"/>
                <w:szCs w:val="20"/>
                <w:lang w:val="pl-PL"/>
              </w:rPr>
              <w:t>12,3</w:t>
            </w:r>
          </w:p>
        </w:tc>
        <w:tc>
          <w:tcPr>
            <w:tcW w:w="672" w:type="dxa"/>
            <w:tcBorders>
              <w:top w:val="single" w:sz="4" w:space="0" w:color="auto"/>
            </w:tcBorders>
            <w:noWrap/>
            <w:hideMark/>
          </w:tcPr>
          <w:p w:rsidR="007133A6" w:rsidRPr="00BF10B0" w:rsidRDefault="007133A6" w:rsidP="00F6398B">
            <w:pPr>
              <w:spacing w:line="276" w:lineRule="auto"/>
              <w:jc w:val="center"/>
              <w:rPr>
                <w:rFonts w:ascii="Times New Roman" w:hAnsi="Times New Roman" w:cs="Times New Roman"/>
                <w:bCs/>
                <w:sz w:val="20"/>
                <w:szCs w:val="20"/>
                <w:lang w:val="pl-PL"/>
              </w:rPr>
            </w:pPr>
            <w:r w:rsidRPr="00BF10B0">
              <w:rPr>
                <w:rFonts w:ascii="Times New Roman" w:hAnsi="Times New Roman" w:cs="Times New Roman"/>
                <w:bCs/>
                <w:sz w:val="20"/>
                <w:szCs w:val="20"/>
                <w:lang w:val="pl-PL"/>
              </w:rPr>
              <w:t>4,6</w:t>
            </w:r>
          </w:p>
        </w:tc>
        <w:tc>
          <w:tcPr>
            <w:tcW w:w="672" w:type="dxa"/>
            <w:tcBorders>
              <w:top w:val="single" w:sz="4" w:space="0" w:color="auto"/>
            </w:tcBorders>
            <w:noWrap/>
            <w:hideMark/>
          </w:tcPr>
          <w:p w:rsidR="007133A6" w:rsidRPr="00BF10B0" w:rsidRDefault="007133A6" w:rsidP="00F6398B">
            <w:pPr>
              <w:spacing w:line="276" w:lineRule="auto"/>
              <w:jc w:val="center"/>
              <w:rPr>
                <w:rFonts w:ascii="Times New Roman" w:hAnsi="Times New Roman" w:cs="Times New Roman"/>
                <w:sz w:val="20"/>
                <w:szCs w:val="20"/>
                <w:lang w:val="pl-PL"/>
              </w:rPr>
            </w:pPr>
            <w:r w:rsidRPr="00BF10B0">
              <w:rPr>
                <w:rFonts w:ascii="Times New Roman" w:hAnsi="Times New Roman" w:cs="Times New Roman"/>
                <w:sz w:val="20"/>
                <w:szCs w:val="20"/>
                <w:lang w:val="pl-PL"/>
              </w:rPr>
              <w:t>5,9</w:t>
            </w:r>
          </w:p>
        </w:tc>
        <w:tc>
          <w:tcPr>
            <w:tcW w:w="672" w:type="dxa"/>
            <w:tcBorders>
              <w:top w:val="single" w:sz="4" w:space="0" w:color="auto"/>
            </w:tcBorders>
            <w:noWrap/>
            <w:hideMark/>
          </w:tcPr>
          <w:p w:rsidR="007133A6" w:rsidRPr="00BF10B0" w:rsidRDefault="007133A6" w:rsidP="00F6398B">
            <w:pPr>
              <w:spacing w:line="276" w:lineRule="auto"/>
              <w:jc w:val="center"/>
              <w:rPr>
                <w:rFonts w:ascii="Times New Roman" w:hAnsi="Times New Roman" w:cs="Times New Roman"/>
                <w:bCs/>
                <w:sz w:val="20"/>
                <w:szCs w:val="20"/>
                <w:lang w:val="pl-PL"/>
              </w:rPr>
            </w:pPr>
            <w:r w:rsidRPr="00BF10B0">
              <w:rPr>
                <w:rFonts w:ascii="Times New Roman" w:hAnsi="Times New Roman" w:cs="Times New Roman"/>
                <w:bCs/>
                <w:sz w:val="20"/>
                <w:szCs w:val="20"/>
                <w:lang w:val="pl-PL"/>
              </w:rPr>
              <w:t>18,0</w:t>
            </w:r>
          </w:p>
        </w:tc>
        <w:tc>
          <w:tcPr>
            <w:tcW w:w="672" w:type="dxa"/>
            <w:tcBorders>
              <w:top w:val="single" w:sz="4" w:space="0" w:color="auto"/>
            </w:tcBorders>
            <w:noWrap/>
            <w:hideMark/>
          </w:tcPr>
          <w:p w:rsidR="007133A6" w:rsidRPr="00BF10B0" w:rsidRDefault="007133A6" w:rsidP="00F6398B">
            <w:pPr>
              <w:spacing w:line="276" w:lineRule="auto"/>
              <w:jc w:val="center"/>
              <w:rPr>
                <w:rFonts w:ascii="Times New Roman" w:hAnsi="Times New Roman" w:cs="Times New Roman"/>
                <w:sz w:val="20"/>
                <w:szCs w:val="20"/>
                <w:lang w:val="pl-PL"/>
              </w:rPr>
            </w:pPr>
            <w:r w:rsidRPr="00BF10B0">
              <w:rPr>
                <w:rFonts w:ascii="Times New Roman" w:hAnsi="Times New Roman" w:cs="Times New Roman"/>
                <w:sz w:val="20"/>
                <w:szCs w:val="20"/>
                <w:lang w:val="pl-PL"/>
              </w:rPr>
              <w:t>1,4</w:t>
            </w:r>
          </w:p>
        </w:tc>
        <w:tc>
          <w:tcPr>
            <w:tcW w:w="672" w:type="dxa"/>
            <w:tcBorders>
              <w:top w:val="single" w:sz="4" w:space="0" w:color="auto"/>
            </w:tcBorders>
            <w:noWrap/>
            <w:hideMark/>
          </w:tcPr>
          <w:p w:rsidR="007133A6" w:rsidRPr="00BF10B0" w:rsidRDefault="007133A6" w:rsidP="00F6398B">
            <w:pPr>
              <w:spacing w:line="276" w:lineRule="auto"/>
              <w:jc w:val="center"/>
              <w:rPr>
                <w:rFonts w:ascii="Times New Roman" w:hAnsi="Times New Roman" w:cs="Times New Roman"/>
                <w:bCs/>
                <w:sz w:val="20"/>
                <w:szCs w:val="20"/>
                <w:lang w:val="pl-PL"/>
              </w:rPr>
            </w:pPr>
            <w:r w:rsidRPr="00BF10B0">
              <w:rPr>
                <w:rFonts w:ascii="Times New Roman" w:hAnsi="Times New Roman" w:cs="Times New Roman"/>
                <w:bCs/>
                <w:sz w:val="20"/>
                <w:szCs w:val="20"/>
                <w:lang w:val="pl-PL"/>
              </w:rPr>
              <w:t>4,3</w:t>
            </w:r>
          </w:p>
        </w:tc>
        <w:tc>
          <w:tcPr>
            <w:tcW w:w="672" w:type="dxa"/>
            <w:tcBorders>
              <w:top w:val="single" w:sz="4" w:space="0" w:color="auto"/>
            </w:tcBorders>
            <w:noWrap/>
            <w:hideMark/>
          </w:tcPr>
          <w:p w:rsidR="007133A6" w:rsidRPr="00BF10B0" w:rsidRDefault="007133A6" w:rsidP="00F6398B">
            <w:pPr>
              <w:spacing w:line="276" w:lineRule="auto"/>
              <w:jc w:val="center"/>
              <w:rPr>
                <w:rFonts w:ascii="Times New Roman" w:hAnsi="Times New Roman" w:cs="Times New Roman"/>
                <w:sz w:val="20"/>
                <w:szCs w:val="20"/>
                <w:lang w:val="pl-PL"/>
              </w:rPr>
            </w:pPr>
            <w:r w:rsidRPr="00BF10B0">
              <w:rPr>
                <w:rFonts w:ascii="Times New Roman" w:hAnsi="Times New Roman" w:cs="Times New Roman"/>
                <w:sz w:val="20"/>
                <w:szCs w:val="20"/>
                <w:lang w:val="pl-PL"/>
              </w:rPr>
              <w:t>9,9</w:t>
            </w:r>
          </w:p>
        </w:tc>
        <w:tc>
          <w:tcPr>
            <w:tcW w:w="672" w:type="dxa"/>
            <w:tcBorders>
              <w:top w:val="single" w:sz="4" w:space="0" w:color="auto"/>
            </w:tcBorders>
            <w:noWrap/>
            <w:hideMark/>
          </w:tcPr>
          <w:p w:rsidR="007133A6" w:rsidRPr="00BF10B0" w:rsidRDefault="007133A6" w:rsidP="00F6398B">
            <w:pPr>
              <w:spacing w:line="276" w:lineRule="auto"/>
              <w:jc w:val="center"/>
              <w:rPr>
                <w:rFonts w:ascii="Times New Roman" w:hAnsi="Times New Roman" w:cs="Times New Roman"/>
                <w:sz w:val="20"/>
                <w:szCs w:val="20"/>
                <w:lang w:val="pl-PL"/>
              </w:rPr>
            </w:pPr>
            <w:r w:rsidRPr="00BF10B0">
              <w:rPr>
                <w:rFonts w:ascii="Times New Roman" w:hAnsi="Times New Roman" w:cs="Times New Roman"/>
                <w:sz w:val="20"/>
                <w:szCs w:val="20"/>
                <w:lang w:val="pl-PL"/>
              </w:rPr>
              <w:t>2,5</w:t>
            </w:r>
          </w:p>
        </w:tc>
        <w:tc>
          <w:tcPr>
            <w:tcW w:w="672" w:type="dxa"/>
            <w:tcBorders>
              <w:top w:val="single" w:sz="4" w:space="0" w:color="auto"/>
            </w:tcBorders>
            <w:noWrap/>
            <w:hideMark/>
          </w:tcPr>
          <w:p w:rsidR="007133A6" w:rsidRPr="00BF10B0" w:rsidRDefault="007133A6" w:rsidP="00F6398B">
            <w:pPr>
              <w:spacing w:line="276" w:lineRule="auto"/>
              <w:jc w:val="center"/>
              <w:rPr>
                <w:rFonts w:ascii="Times New Roman" w:hAnsi="Times New Roman" w:cs="Times New Roman"/>
                <w:sz w:val="20"/>
                <w:szCs w:val="20"/>
                <w:lang w:val="pl-PL"/>
              </w:rPr>
            </w:pPr>
            <w:r w:rsidRPr="00BF10B0">
              <w:rPr>
                <w:rFonts w:ascii="Times New Roman" w:hAnsi="Times New Roman" w:cs="Times New Roman"/>
                <w:sz w:val="20"/>
                <w:szCs w:val="20"/>
                <w:lang w:val="pl-PL"/>
              </w:rPr>
              <w:t>10,0</w:t>
            </w:r>
          </w:p>
        </w:tc>
        <w:tc>
          <w:tcPr>
            <w:tcW w:w="672" w:type="dxa"/>
            <w:tcBorders>
              <w:top w:val="single" w:sz="4" w:space="0" w:color="auto"/>
            </w:tcBorders>
            <w:noWrap/>
            <w:hideMark/>
          </w:tcPr>
          <w:p w:rsidR="007133A6" w:rsidRPr="00BF10B0" w:rsidRDefault="007133A6" w:rsidP="00F6398B">
            <w:pPr>
              <w:spacing w:line="276" w:lineRule="auto"/>
              <w:jc w:val="center"/>
              <w:rPr>
                <w:rFonts w:ascii="Times New Roman" w:hAnsi="Times New Roman" w:cs="Times New Roman"/>
                <w:sz w:val="20"/>
                <w:szCs w:val="20"/>
                <w:lang w:val="pl-PL"/>
              </w:rPr>
            </w:pPr>
            <w:r w:rsidRPr="00BF10B0">
              <w:rPr>
                <w:rFonts w:ascii="Times New Roman" w:hAnsi="Times New Roman" w:cs="Times New Roman"/>
                <w:sz w:val="20"/>
                <w:szCs w:val="20"/>
                <w:lang w:val="pl-PL"/>
              </w:rPr>
              <w:t>31,2</w:t>
            </w:r>
          </w:p>
        </w:tc>
        <w:tc>
          <w:tcPr>
            <w:tcW w:w="1135" w:type="dxa"/>
            <w:tcBorders>
              <w:top w:val="single" w:sz="4" w:space="0" w:color="auto"/>
            </w:tcBorders>
            <w:noWrap/>
            <w:hideMark/>
          </w:tcPr>
          <w:p w:rsidR="007133A6" w:rsidRPr="00BF10B0" w:rsidRDefault="007133A6" w:rsidP="00F6398B">
            <w:pPr>
              <w:spacing w:line="276" w:lineRule="auto"/>
              <w:jc w:val="center"/>
              <w:rPr>
                <w:rFonts w:ascii="Times New Roman" w:hAnsi="Times New Roman" w:cs="Times New Roman"/>
                <w:sz w:val="20"/>
                <w:szCs w:val="20"/>
                <w:lang w:val="pl-PL"/>
              </w:rPr>
            </w:pPr>
            <w:r w:rsidRPr="00BF10B0">
              <w:rPr>
                <w:rFonts w:ascii="Times New Roman" w:hAnsi="Times New Roman" w:cs="Times New Roman"/>
                <w:sz w:val="20"/>
                <w:szCs w:val="20"/>
                <w:lang w:val="pl-PL"/>
              </w:rPr>
              <w:t>36,4</w:t>
            </w:r>
          </w:p>
        </w:tc>
      </w:tr>
      <w:tr w:rsidR="007133A6" w:rsidRPr="007133A6" w:rsidTr="00894D60">
        <w:trPr>
          <w:trHeight w:val="225"/>
        </w:trPr>
        <w:tc>
          <w:tcPr>
            <w:tcW w:w="1083" w:type="dxa"/>
            <w:noWrap/>
            <w:hideMark/>
          </w:tcPr>
          <w:p w:rsidR="007133A6" w:rsidRPr="00BF10B0" w:rsidRDefault="007133A6" w:rsidP="00BF10B0">
            <w:pPr>
              <w:spacing w:line="276" w:lineRule="auto"/>
              <w:rPr>
                <w:rFonts w:ascii="Times New Roman" w:hAnsi="Times New Roman" w:cs="Times New Roman"/>
                <w:sz w:val="20"/>
                <w:szCs w:val="20"/>
                <w:lang w:val="pl-PL"/>
              </w:rPr>
            </w:pPr>
            <w:r w:rsidRPr="00BF10B0">
              <w:rPr>
                <w:rFonts w:ascii="Times New Roman" w:hAnsi="Times New Roman" w:cs="Times New Roman"/>
                <w:sz w:val="20"/>
                <w:szCs w:val="20"/>
                <w:lang w:val="pl-PL"/>
              </w:rPr>
              <w:t>L</w:t>
            </w:r>
            <w:r w:rsidR="00BF10B0" w:rsidRPr="00BF10B0">
              <w:rPr>
                <w:rFonts w:ascii="Times New Roman" w:hAnsi="Times New Roman" w:cs="Times New Roman"/>
                <w:sz w:val="20"/>
                <w:szCs w:val="20"/>
                <w:lang w:val="pl-PL"/>
              </w:rPr>
              <w:t>itwa</w:t>
            </w:r>
          </w:p>
        </w:tc>
        <w:tc>
          <w:tcPr>
            <w:tcW w:w="672" w:type="dxa"/>
            <w:noWrap/>
            <w:hideMark/>
          </w:tcPr>
          <w:p w:rsidR="007133A6" w:rsidRPr="00BF10B0" w:rsidRDefault="007133A6" w:rsidP="00F6398B">
            <w:pPr>
              <w:spacing w:line="276" w:lineRule="auto"/>
              <w:jc w:val="center"/>
              <w:rPr>
                <w:rFonts w:ascii="Times New Roman" w:hAnsi="Times New Roman" w:cs="Times New Roman"/>
                <w:sz w:val="20"/>
                <w:szCs w:val="20"/>
                <w:lang w:val="pl-PL"/>
              </w:rPr>
            </w:pPr>
            <w:r w:rsidRPr="00BF10B0">
              <w:rPr>
                <w:rFonts w:ascii="Times New Roman" w:hAnsi="Times New Roman" w:cs="Times New Roman"/>
                <w:sz w:val="20"/>
                <w:szCs w:val="20"/>
                <w:lang w:val="pl-PL"/>
              </w:rPr>
              <w:t>13,1</w:t>
            </w:r>
          </w:p>
        </w:tc>
        <w:tc>
          <w:tcPr>
            <w:tcW w:w="672" w:type="dxa"/>
            <w:noWrap/>
            <w:hideMark/>
          </w:tcPr>
          <w:p w:rsidR="007133A6" w:rsidRPr="00BF10B0" w:rsidRDefault="007133A6" w:rsidP="00F6398B">
            <w:pPr>
              <w:spacing w:line="276" w:lineRule="auto"/>
              <w:jc w:val="center"/>
              <w:rPr>
                <w:rFonts w:ascii="Times New Roman" w:hAnsi="Times New Roman" w:cs="Times New Roman"/>
                <w:sz w:val="20"/>
                <w:szCs w:val="20"/>
                <w:lang w:val="pl-PL"/>
              </w:rPr>
            </w:pPr>
            <w:r w:rsidRPr="00BF10B0">
              <w:rPr>
                <w:rFonts w:ascii="Times New Roman" w:hAnsi="Times New Roman" w:cs="Times New Roman"/>
                <w:sz w:val="20"/>
                <w:szCs w:val="20"/>
                <w:lang w:val="pl-PL"/>
              </w:rPr>
              <w:t>3,6</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5,0</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10,8</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1,8</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0,9</w:t>
            </w:r>
          </w:p>
        </w:tc>
        <w:tc>
          <w:tcPr>
            <w:tcW w:w="672" w:type="dxa"/>
            <w:noWrap/>
            <w:hideMark/>
          </w:tcPr>
          <w:p w:rsidR="007133A6" w:rsidRPr="00961E1E" w:rsidRDefault="007133A6" w:rsidP="00F6398B">
            <w:pPr>
              <w:spacing w:line="276" w:lineRule="auto"/>
              <w:jc w:val="center"/>
              <w:rPr>
                <w:rFonts w:ascii="Times New Roman" w:hAnsi="Times New Roman" w:cs="Times New Roman"/>
                <w:bCs/>
                <w:sz w:val="20"/>
                <w:szCs w:val="20"/>
              </w:rPr>
            </w:pPr>
            <w:r w:rsidRPr="00961E1E">
              <w:rPr>
                <w:rFonts w:ascii="Times New Roman" w:hAnsi="Times New Roman" w:cs="Times New Roman"/>
                <w:bCs/>
                <w:sz w:val="20"/>
                <w:szCs w:val="20"/>
              </w:rPr>
              <w:t>15,1</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2,5</w:t>
            </w:r>
          </w:p>
        </w:tc>
        <w:tc>
          <w:tcPr>
            <w:tcW w:w="672" w:type="dxa"/>
            <w:noWrap/>
            <w:hideMark/>
          </w:tcPr>
          <w:p w:rsidR="007133A6" w:rsidRPr="00961E1E" w:rsidRDefault="007133A6" w:rsidP="00F6398B">
            <w:pPr>
              <w:spacing w:line="276" w:lineRule="auto"/>
              <w:jc w:val="center"/>
              <w:rPr>
                <w:rFonts w:ascii="Times New Roman" w:hAnsi="Times New Roman" w:cs="Times New Roman"/>
                <w:bCs/>
                <w:sz w:val="20"/>
                <w:szCs w:val="20"/>
              </w:rPr>
            </w:pPr>
            <w:r w:rsidRPr="00961E1E">
              <w:rPr>
                <w:rFonts w:ascii="Times New Roman" w:hAnsi="Times New Roman" w:cs="Times New Roman"/>
                <w:bCs/>
                <w:sz w:val="20"/>
                <w:szCs w:val="20"/>
              </w:rPr>
              <w:t>15,9</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31,3</w:t>
            </w:r>
          </w:p>
        </w:tc>
        <w:tc>
          <w:tcPr>
            <w:tcW w:w="1135"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37,0</w:t>
            </w:r>
          </w:p>
        </w:tc>
      </w:tr>
      <w:tr w:rsidR="007133A6" w:rsidRPr="007133A6" w:rsidTr="00894D60">
        <w:trPr>
          <w:trHeight w:val="225"/>
        </w:trPr>
        <w:tc>
          <w:tcPr>
            <w:tcW w:w="1083" w:type="dxa"/>
            <w:noWrap/>
            <w:hideMark/>
          </w:tcPr>
          <w:p w:rsidR="007133A6" w:rsidRPr="00961E1E" w:rsidRDefault="00BF10B0" w:rsidP="00F6398B">
            <w:pPr>
              <w:spacing w:line="276" w:lineRule="auto"/>
              <w:rPr>
                <w:rFonts w:ascii="Times New Roman" w:hAnsi="Times New Roman" w:cs="Times New Roman"/>
                <w:sz w:val="20"/>
                <w:szCs w:val="20"/>
              </w:rPr>
            </w:pPr>
            <w:proofErr w:type="spellStart"/>
            <w:r>
              <w:rPr>
                <w:rFonts w:ascii="Times New Roman" w:hAnsi="Times New Roman" w:cs="Times New Roman"/>
                <w:sz w:val="20"/>
                <w:szCs w:val="20"/>
              </w:rPr>
              <w:t>Łotwa</w:t>
            </w:r>
            <w:proofErr w:type="spellEnd"/>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11,7</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3,1</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5,8</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14,6</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1,6</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3,4</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10,7</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4,1</w:t>
            </w:r>
          </w:p>
        </w:tc>
        <w:tc>
          <w:tcPr>
            <w:tcW w:w="672" w:type="dxa"/>
            <w:noWrap/>
            <w:hideMark/>
          </w:tcPr>
          <w:p w:rsidR="007133A6" w:rsidRPr="00961E1E" w:rsidRDefault="007133A6" w:rsidP="00F6398B">
            <w:pPr>
              <w:spacing w:line="276" w:lineRule="auto"/>
              <w:jc w:val="center"/>
              <w:rPr>
                <w:rFonts w:ascii="Times New Roman" w:hAnsi="Times New Roman" w:cs="Times New Roman"/>
                <w:bCs/>
                <w:sz w:val="20"/>
                <w:szCs w:val="20"/>
              </w:rPr>
            </w:pPr>
            <w:r w:rsidRPr="00961E1E">
              <w:rPr>
                <w:rFonts w:ascii="Times New Roman" w:hAnsi="Times New Roman" w:cs="Times New Roman"/>
                <w:bCs/>
                <w:sz w:val="20"/>
                <w:szCs w:val="20"/>
              </w:rPr>
              <w:t>15,8</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29,3</w:t>
            </w:r>
          </w:p>
        </w:tc>
        <w:tc>
          <w:tcPr>
            <w:tcW w:w="1135"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37,1</w:t>
            </w:r>
          </w:p>
        </w:tc>
      </w:tr>
      <w:tr w:rsidR="007133A6" w:rsidRPr="007133A6" w:rsidTr="00894D60">
        <w:trPr>
          <w:trHeight w:val="225"/>
        </w:trPr>
        <w:tc>
          <w:tcPr>
            <w:tcW w:w="1083" w:type="dxa"/>
            <w:noWrap/>
            <w:hideMark/>
          </w:tcPr>
          <w:p w:rsidR="007133A6" w:rsidRPr="00961E1E" w:rsidRDefault="007133A6" w:rsidP="00BF10B0">
            <w:pPr>
              <w:spacing w:line="276" w:lineRule="auto"/>
              <w:rPr>
                <w:rFonts w:ascii="Times New Roman" w:hAnsi="Times New Roman" w:cs="Times New Roman"/>
                <w:sz w:val="20"/>
                <w:szCs w:val="20"/>
              </w:rPr>
            </w:pPr>
            <w:proofErr w:type="spellStart"/>
            <w:r w:rsidRPr="00961E1E">
              <w:rPr>
                <w:rFonts w:ascii="Times New Roman" w:hAnsi="Times New Roman" w:cs="Times New Roman"/>
                <w:sz w:val="20"/>
                <w:szCs w:val="20"/>
              </w:rPr>
              <w:t>B</w:t>
            </w:r>
            <w:r w:rsidR="00BF10B0">
              <w:rPr>
                <w:rFonts w:ascii="Times New Roman" w:hAnsi="Times New Roman" w:cs="Times New Roman"/>
                <w:sz w:val="20"/>
                <w:szCs w:val="20"/>
              </w:rPr>
              <w:t>ułgaria</w:t>
            </w:r>
            <w:proofErr w:type="spellEnd"/>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13,8</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4,3</w:t>
            </w:r>
          </w:p>
        </w:tc>
        <w:tc>
          <w:tcPr>
            <w:tcW w:w="672" w:type="dxa"/>
            <w:noWrap/>
            <w:hideMark/>
          </w:tcPr>
          <w:p w:rsidR="007133A6" w:rsidRPr="00961E1E" w:rsidRDefault="007133A6" w:rsidP="00F6398B">
            <w:pPr>
              <w:spacing w:line="276" w:lineRule="auto"/>
              <w:jc w:val="center"/>
              <w:rPr>
                <w:rFonts w:ascii="Times New Roman" w:hAnsi="Times New Roman" w:cs="Times New Roman"/>
                <w:bCs/>
                <w:sz w:val="20"/>
                <w:szCs w:val="20"/>
              </w:rPr>
            </w:pPr>
            <w:r w:rsidRPr="00961E1E">
              <w:rPr>
                <w:rFonts w:ascii="Times New Roman" w:hAnsi="Times New Roman" w:cs="Times New Roman"/>
                <w:bCs/>
                <w:sz w:val="20"/>
                <w:szCs w:val="20"/>
              </w:rPr>
              <w:t>7,0</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13,2</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2,3</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2,7</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12,4</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2,1</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10,2</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32,2</w:t>
            </w:r>
          </w:p>
        </w:tc>
        <w:tc>
          <w:tcPr>
            <w:tcW w:w="1135"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37,4</w:t>
            </w:r>
          </w:p>
        </w:tc>
      </w:tr>
      <w:tr w:rsidR="007133A6" w:rsidRPr="007133A6" w:rsidTr="00894D60">
        <w:trPr>
          <w:trHeight w:val="225"/>
        </w:trPr>
        <w:tc>
          <w:tcPr>
            <w:tcW w:w="1083" w:type="dxa"/>
            <w:noWrap/>
            <w:hideMark/>
          </w:tcPr>
          <w:p w:rsidR="007133A6" w:rsidRPr="00961E1E" w:rsidRDefault="007133A6" w:rsidP="00BF10B0">
            <w:pPr>
              <w:spacing w:line="276" w:lineRule="auto"/>
              <w:rPr>
                <w:rFonts w:ascii="Times New Roman" w:hAnsi="Times New Roman" w:cs="Times New Roman"/>
                <w:sz w:val="20"/>
                <w:szCs w:val="20"/>
              </w:rPr>
            </w:pPr>
            <w:r w:rsidRPr="00961E1E">
              <w:rPr>
                <w:rFonts w:ascii="Times New Roman" w:hAnsi="Times New Roman" w:cs="Times New Roman"/>
                <w:sz w:val="20"/>
                <w:szCs w:val="20"/>
              </w:rPr>
              <w:t>E</w:t>
            </w:r>
            <w:r w:rsidR="00BF10B0">
              <w:rPr>
                <w:rFonts w:ascii="Times New Roman" w:hAnsi="Times New Roman" w:cs="Times New Roman"/>
                <w:sz w:val="20"/>
                <w:szCs w:val="20"/>
              </w:rPr>
              <w:t>stonia</w:t>
            </w:r>
          </w:p>
        </w:tc>
        <w:tc>
          <w:tcPr>
            <w:tcW w:w="672" w:type="dxa"/>
            <w:noWrap/>
            <w:hideMark/>
          </w:tcPr>
          <w:p w:rsidR="007133A6" w:rsidRPr="00961E1E" w:rsidRDefault="007133A6" w:rsidP="00F6398B">
            <w:pPr>
              <w:spacing w:line="276" w:lineRule="auto"/>
              <w:jc w:val="center"/>
              <w:rPr>
                <w:rFonts w:ascii="Times New Roman" w:hAnsi="Times New Roman" w:cs="Times New Roman"/>
                <w:bCs/>
                <w:sz w:val="20"/>
                <w:szCs w:val="20"/>
              </w:rPr>
            </w:pPr>
            <w:r w:rsidRPr="00961E1E">
              <w:rPr>
                <w:rFonts w:ascii="Times New Roman" w:hAnsi="Times New Roman" w:cs="Times New Roman"/>
                <w:bCs/>
                <w:sz w:val="20"/>
                <w:szCs w:val="20"/>
              </w:rPr>
              <w:t>9,5</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4,3</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5,9</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12,0</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1,7</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1,2</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12,6</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5,7</w:t>
            </w:r>
          </w:p>
        </w:tc>
        <w:tc>
          <w:tcPr>
            <w:tcW w:w="672" w:type="dxa"/>
            <w:noWrap/>
            <w:hideMark/>
          </w:tcPr>
          <w:p w:rsidR="007133A6" w:rsidRPr="00961E1E" w:rsidRDefault="007133A6" w:rsidP="00F6398B">
            <w:pPr>
              <w:spacing w:line="276" w:lineRule="auto"/>
              <w:jc w:val="center"/>
              <w:rPr>
                <w:rFonts w:ascii="Times New Roman" w:hAnsi="Times New Roman" w:cs="Times New Roman"/>
                <w:bCs/>
                <w:sz w:val="20"/>
                <w:szCs w:val="20"/>
              </w:rPr>
            </w:pPr>
            <w:r w:rsidRPr="00961E1E">
              <w:rPr>
                <w:rFonts w:ascii="Times New Roman" w:hAnsi="Times New Roman" w:cs="Times New Roman"/>
                <w:bCs/>
                <w:sz w:val="20"/>
                <w:szCs w:val="20"/>
              </w:rPr>
              <w:t>17,0</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30,2</w:t>
            </w:r>
          </w:p>
        </w:tc>
        <w:tc>
          <w:tcPr>
            <w:tcW w:w="1135"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37,5</w:t>
            </w:r>
          </w:p>
        </w:tc>
      </w:tr>
      <w:tr w:rsidR="007133A6" w:rsidRPr="007133A6" w:rsidTr="00894D60">
        <w:trPr>
          <w:trHeight w:val="225"/>
        </w:trPr>
        <w:tc>
          <w:tcPr>
            <w:tcW w:w="1083" w:type="dxa"/>
            <w:noWrap/>
            <w:hideMark/>
          </w:tcPr>
          <w:p w:rsidR="007133A6" w:rsidRPr="00961E1E" w:rsidRDefault="007133A6" w:rsidP="00BF10B0">
            <w:pPr>
              <w:spacing w:line="276" w:lineRule="auto"/>
              <w:rPr>
                <w:rFonts w:ascii="Times New Roman" w:hAnsi="Times New Roman" w:cs="Times New Roman"/>
                <w:sz w:val="20"/>
                <w:szCs w:val="20"/>
              </w:rPr>
            </w:pPr>
            <w:proofErr w:type="spellStart"/>
            <w:r w:rsidRPr="00961E1E">
              <w:rPr>
                <w:rFonts w:ascii="Times New Roman" w:hAnsi="Times New Roman" w:cs="Times New Roman"/>
                <w:sz w:val="20"/>
                <w:szCs w:val="20"/>
              </w:rPr>
              <w:t>S</w:t>
            </w:r>
            <w:r w:rsidR="00BF10B0">
              <w:rPr>
                <w:rFonts w:ascii="Times New Roman" w:hAnsi="Times New Roman" w:cs="Times New Roman"/>
                <w:sz w:val="20"/>
                <w:szCs w:val="20"/>
              </w:rPr>
              <w:t>łowacja</w:t>
            </w:r>
            <w:proofErr w:type="spellEnd"/>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13,6</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2,2</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5,4</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11,9</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2,0</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1,8</w:t>
            </w:r>
          </w:p>
        </w:tc>
        <w:tc>
          <w:tcPr>
            <w:tcW w:w="672" w:type="dxa"/>
            <w:noWrap/>
            <w:hideMark/>
          </w:tcPr>
          <w:p w:rsidR="007133A6" w:rsidRPr="00961E1E" w:rsidRDefault="007133A6" w:rsidP="00F6398B">
            <w:pPr>
              <w:spacing w:line="276" w:lineRule="auto"/>
              <w:jc w:val="center"/>
              <w:rPr>
                <w:rFonts w:ascii="Times New Roman" w:hAnsi="Times New Roman" w:cs="Times New Roman"/>
                <w:bCs/>
                <w:sz w:val="20"/>
                <w:szCs w:val="20"/>
              </w:rPr>
            </w:pPr>
            <w:r w:rsidRPr="00961E1E">
              <w:rPr>
                <w:rFonts w:ascii="Times New Roman" w:hAnsi="Times New Roman" w:cs="Times New Roman"/>
                <w:bCs/>
                <w:sz w:val="20"/>
                <w:szCs w:val="20"/>
              </w:rPr>
              <w:t>4,5</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2,3</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9,7</w:t>
            </w:r>
          </w:p>
        </w:tc>
        <w:tc>
          <w:tcPr>
            <w:tcW w:w="672" w:type="dxa"/>
            <w:noWrap/>
            <w:hideMark/>
          </w:tcPr>
          <w:p w:rsidR="007133A6" w:rsidRPr="00961E1E" w:rsidRDefault="007133A6" w:rsidP="00F6398B">
            <w:pPr>
              <w:spacing w:line="276" w:lineRule="auto"/>
              <w:jc w:val="center"/>
              <w:rPr>
                <w:rFonts w:ascii="Times New Roman" w:hAnsi="Times New Roman" w:cs="Times New Roman"/>
                <w:bCs/>
                <w:sz w:val="20"/>
                <w:szCs w:val="20"/>
              </w:rPr>
            </w:pPr>
            <w:r w:rsidRPr="00961E1E">
              <w:rPr>
                <w:rFonts w:ascii="Times New Roman" w:hAnsi="Times New Roman" w:cs="Times New Roman"/>
                <w:bCs/>
                <w:sz w:val="20"/>
                <w:szCs w:val="20"/>
              </w:rPr>
              <w:t>46,6</w:t>
            </w:r>
          </w:p>
        </w:tc>
        <w:tc>
          <w:tcPr>
            <w:tcW w:w="1135"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40,1</w:t>
            </w:r>
          </w:p>
        </w:tc>
      </w:tr>
      <w:tr w:rsidR="007133A6" w:rsidRPr="007133A6" w:rsidTr="00894D60">
        <w:trPr>
          <w:trHeight w:val="225"/>
        </w:trPr>
        <w:tc>
          <w:tcPr>
            <w:tcW w:w="1083" w:type="dxa"/>
            <w:noWrap/>
            <w:hideMark/>
          </w:tcPr>
          <w:p w:rsidR="007133A6" w:rsidRPr="00961E1E" w:rsidRDefault="007133A6" w:rsidP="00BF10B0">
            <w:pPr>
              <w:spacing w:line="276" w:lineRule="auto"/>
              <w:rPr>
                <w:rFonts w:ascii="Times New Roman" w:hAnsi="Times New Roman" w:cs="Times New Roman"/>
                <w:sz w:val="20"/>
                <w:szCs w:val="20"/>
              </w:rPr>
            </w:pPr>
            <w:proofErr w:type="spellStart"/>
            <w:r w:rsidRPr="00961E1E">
              <w:rPr>
                <w:rFonts w:ascii="Times New Roman" w:hAnsi="Times New Roman" w:cs="Times New Roman"/>
                <w:sz w:val="20"/>
                <w:szCs w:val="20"/>
              </w:rPr>
              <w:t>C</w:t>
            </w:r>
            <w:r w:rsidR="00BF10B0">
              <w:rPr>
                <w:rFonts w:ascii="Times New Roman" w:hAnsi="Times New Roman" w:cs="Times New Roman"/>
                <w:sz w:val="20"/>
                <w:szCs w:val="20"/>
              </w:rPr>
              <w:t>zechy</w:t>
            </w:r>
            <w:proofErr w:type="spellEnd"/>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11,0</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2,7</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4,5</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16,4</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2,4</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2,4</w:t>
            </w:r>
          </w:p>
        </w:tc>
        <w:tc>
          <w:tcPr>
            <w:tcW w:w="672" w:type="dxa"/>
            <w:noWrap/>
            <w:hideMark/>
          </w:tcPr>
          <w:p w:rsidR="007133A6" w:rsidRPr="00961E1E" w:rsidRDefault="007133A6" w:rsidP="00F6398B">
            <w:pPr>
              <w:spacing w:line="276" w:lineRule="auto"/>
              <w:jc w:val="center"/>
              <w:rPr>
                <w:rFonts w:ascii="Times New Roman" w:hAnsi="Times New Roman" w:cs="Times New Roman"/>
                <w:bCs/>
                <w:sz w:val="20"/>
                <w:szCs w:val="20"/>
              </w:rPr>
            </w:pPr>
            <w:r w:rsidRPr="00961E1E">
              <w:rPr>
                <w:rFonts w:ascii="Times New Roman" w:hAnsi="Times New Roman" w:cs="Times New Roman"/>
                <w:bCs/>
                <w:sz w:val="20"/>
                <w:szCs w:val="20"/>
              </w:rPr>
              <w:t>16,7</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2,8</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11,6</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29,7</w:t>
            </w:r>
          </w:p>
        </w:tc>
        <w:tc>
          <w:tcPr>
            <w:tcW w:w="1135"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42,8</w:t>
            </w:r>
          </w:p>
        </w:tc>
      </w:tr>
      <w:tr w:rsidR="007133A6" w:rsidRPr="00BF10B0" w:rsidTr="00894D60">
        <w:trPr>
          <w:trHeight w:val="225"/>
        </w:trPr>
        <w:tc>
          <w:tcPr>
            <w:tcW w:w="1083" w:type="dxa"/>
            <w:shd w:val="clear" w:color="auto" w:fill="D9D9D9" w:themeFill="background1" w:themeFillShade="D9"/>
            <w:noWrap/>
            <w:hideMark/>
          </w:tcPr>
          <w:p w:rsidR="007133A6" w:rsidRPr="00BF10B0" w:rsidRDefault="007133A6" w:rsidP="00BF10B0">
            <w:pPr>
              <w:spacing w:line="276" w:lineRule="auto"/>
              <w:rPr>
                <w:rFonts w:ascii="Times New Roman" w:hAnsi="Times New Roman" w:cs="Times New Roman"/>
                <w:b/>
                <w:bCs/>
                <w:sz w:val="20"/>
                <w:szCs w:val="20"/>
              </w:rPr>
            </w:pPr>
            <w:proofErr w:type="spellStart"/>
            <w:r w:rsidRPr="00BF10B0">
              <w:rPr>
                <w:rFonts w:ascii="Times New Roman" w:hAnsi="Times New Roman" w:cs="Times New Roman"/>
                <w:b/>
                <w:bCs/>
                <w:sz w:val="20"/>
                <w:szCs w:val="20"/>
              </w:rPr>
              <w:t>P</w:t>
            </w:r>
            <w:r w:rsidR="00BF10B0">
              <w:rPr>
                <w:rFonts w:ascii="Times New Roman" w:hAnsi="Times New Roman" w:cs="Times New Roman"/>
                <w:b/>
                <w:bCs/>
                <w:sz w:val="20"/>
                <w:szCs w:val="20"/>
              </w:rPr>
              <w:t>olska</w:t>
            </w:r>
            <w:proofErr w:type="spellEnd"/>
          </w:p>
        </w:tc>
        <w:tc>
          <w:tcPr>
            <w:tcW w:w="672" w:type="dxa"/>
            <w:shd w:val="clear" w:color="auto" w:fill="D9D9D9" w:themeFill="background1" w:themeFillShade="D9"/>
            <w:noWrap/>
            <w:hideMark/>
          </w:tcPr>
          <w:p w:rsidR="007133A6" w:rsidRPr="00BF10B0" w:rsidRDefault="007133A6" w:rsidP="00F6398B">
            <w:pPr>
              <w:spacing w:line="276" w:lineRule="auto"/>
              <w:jc w:val="center"/>
              <w:rPr>
                <w:rFonts w:ascii="Times New Roman" w:hAnsi="Times New Roman" w:cs="Times New Roman"/>
                <w:b/>
                <w:sz w:val="20"/>
                <w:szCs w:val="20"/>
              </w:rPr>
            </w:pPr>
            <w:r w:rsidRPr="00BF10B0">
              <w:rPr>
                <w:rFonts w:ascii="Times New Roman" w:hAnsi="Times New Roman" w:cs="Times New Roman"/>
                <w:b/>
                <w:sz w:val="20"/>
                <w:szCs w:val="20"/>
              </w:rPr>
              <w:t>12,9</w:t>
            </w:r>
          </w:p>
        </w:tc>
        <w:tc>
          <w:tcPr>
            <w:tcW w:w="672" w:type="dxa"/>
            <w:shd w:val="clear" w:color="auto" w:fill="D9D9D9" w:themeFill="background1" w:themeFillShade="D9"/>
            <w:noWrap/>
            <w:hideMark/>
          </w:tcPr>
          <w:p w:rsidR="007133A6" w:rsidRPr="00BF10B0" w:rsidRDefault="007133A6" w:rsidP="00F6398B">
            <w:pPr>
              <w:spacing w:line="276" w:lineRule="auto"/>
              <w:jc w:val="center"/>
              <w:rPr>
                <w:rFonts w:ascii="Times New Roman" w:hAnsi="Times New Roman" w:cs="Times New Roman"/>
                <w:b/>
                <w:sz w:val="20"/>
                <w:szCs w:val="20"/>
              </w:rPr>
            </w:pPr>
            <w:r w:rsidRPr="00BF10B0">
              <w:rPr>
                <w:rFonts w:ascii="Times New Roman" w:hAnsi="Times New Roman" w:cs="Times New Roman"/>
                <w:b/>
                <w:sz w:val="20"/>
                <w:szCs w:val="20"/>
              </w:rPr>
              <w:t>3,7</w:t>
            </w:r>
          </w:p>
        </w:tc>
        <w:tc>
          <w:tcPr>
            <w:tcW w:w="672" w:type="dxa"/>
            <w:shd w:val="clear" w:color="auto" w:fill="D9D9D9" w:themeFill="background1" w:themeFillShade="D9"/>
            <w:noWrap/>
            <w:hideMark/>
          </w:tcPr>
          <w:p w:rsidR="007133A6" w:rsidRPr="00BF10B0" w:rsidRDefault="007133A6" w:rsidP="00F6398B">
            <w:pPr>
              <w:spacing w:line="276" w:lineRule="auto"/>
              <w:jc w:val="center"/>
              <w:rPr>
                <w:rFonts w:ascii="Times New Roman" w:hAnsi="Times New Roman" w:cs="Times New Roman"/>
                <w:b/>
                <w:sz w:val="20"/>
                <w:szCs w:val="20"/>
              </w:rPr>
            </w:pPr>
            <w:r w:rsidRPr="00BF10B0">
              <w:rPr>
                <w:rFonts w:ascii="Times New Roman" w:hAnsi="Times New Roman" w:cs="Times New Roman"/>
                <w:b/>
                <w:sz w:val="20"/>
                <w:szCs w:val="20"/>
              </w:rPr>
              <w:t>5,1</w:t>
            </w:r>
          </w:p>
        </w:tc>
        <w:tc>
          <w:tcPr>
            <w:tcW w:w="672" w:type="dxa"/>
            <w:shd w:val="clear" w:color="auto" w:fill="D9D9D9" w:themeFill="background1" w:themeFillShade="D9"/>
            <w:noWrap/>
            <w:hideMark/>
          </w:tcPr>
          <w:p w:rsidR="007133A6" w:rsidRPr="00BF10B0" w:rsidRDefault="007133A6" w:rsidP="00F6398B">
            <w:pPr>
              <w:spacing w:line="276" w:lineRule="auto"/>
              <w:jc w:val="center"/>
              <w:rPr>
                <w:rFonts w:ascii="Times New Roman" w:hAnsi="Times New Roman" w:cs="Times New Roman"/>
                <w:b/>
                <w:sz w:val="20"/>
                <w:szCs w:val="20"/>
              </w:rPr>
            </w:pPr>
            <w:r w:rsidRPr="00BF10B0">
              <w:rPr>
                <w:rFonts w:ascii="Times New Roman" w:hAnsi="Times New Roman" w:cs="Times New Roman"/>
                <w:b/>
                <w:sz w:val="20"/>
                <w:szCs w:val="20"/>
              </w:rPr>
              <w:t>10,2</w:t>
            </w:r>
          </w:p>
        </w:tc>
        <w:tc>
          <w:tcPr>
            <w:tcW w:w="672" w:type="dxa"/>
            <w:shd w:val="clear" w:color="auto" w:fill="D9D9D9" w:themeFill="background1" w:themeFillShade="D9"/>
            <w:noWrap/>
            <w:hideMark/>
          </w:tcPr>
          <w:p w:rsidR="007133A6" w:rsidRPr="00BF10B0" w:rsidRDefault="007133A6" w:rsidP="00F6398B">
            <w:pPr>
              <w:spacing w:line="276" w:lineRule="auto"/>
              <w:jc w:val="center"/>
              <w:rPr>
                <w:rFonts w:ascii="Times New Roman" w:hAnsi="Times New Roman" w:cs="Times New Roman"/>
                <w:b/>
                <w:sz w:val="20"/>
                <w:szCs w:val="20"/>
              </w:rPr>
            </w:pPr>
            <w:r w:rsidRPr="00BF10B0">
              <w:rPr>
                <w:rFonts w:ascii="Times New Roman" w:hAnsi="Times New Roman" w:cs="Times New Roman"/>
                <w:b/>
                <w:sz w:val="20"/>
                <w:szCs w:val="20"/>
              </w:rPr>
              <w:t>1,5</w:t>
            </w:r>
          </w:p>
        </w:tc>
        <w:tc>
          <w:tcPr>
            <w:tcW w:w="672" w:type="dxa"/>
            <w:shd w:val="clear" w:color="auto" w:fill="D9D9D9" w:themeFill="background1" w:themeFillShade="D9"/>
            <w:noWrap/>
            <w:hideMark/>
          </w:tcPr>
          <w:p w:rsidR="007133A6" w:rsidRPr="00BF10B0" w:rsidRDefault="007133A6" w:rsidP="00F6398B">
            <w:pPr>
              <w:spacing w:line="276" w:lineRule="auto"/>
              <w:jc w:val="center"/>
              <w:rPr>
                <w:rFonts w:ascii="Times New Roman" w:hAnsi="Times New Roman" w:cs="Times New Roman"/>
                <w:b/>
                <w:sz w:val="20"/>
                <w:szCs w:val="20"/>
              </w:rPr>
            </w:pPr>
            <w:r w:rsidRPr="00BF10B0">
              <w:rPr>
                <w:rFonts w:ascii="Times New Roman" w:hAnsi="Times New Roman" w:cs="Times New Roman"/>
                <w:b/>
                <w:sz w:val="20"/>
                <w:szCs w:val="20"/>
              </w:rPr>
              <w:t>2,4</w:t>
            </w:r>
          </w:p>
        </w:tc>
        <w:tc>
          <w:tcPr>
            <w:tcW w:w="672" w:type="dxa"/>
            <w:shd w:val="clear" w:color="auto" w:fill="D9D9D9" w:themeFill="background1" w:themeFillShade="D9"/>
            <w:noWrap/>
            <w:hideMark/>
          </w:tcPr>
          <w:p w:rsidR="007133A6" w:rsidRPr="00BF10B0" w:rsidRDefault="007133A6" w:rsidP="00F6398B">
            <w:pPr>
              <w:spacing w:line="276" w:lineRule="auto"/>
              <w:jc w:val="center"/>
              <w:rPr>
                <w:rFonts w:ascii="Times New Roman" w:hAnsi="Times New Roman" w:cs="Times New Roman"/>
                <w:b/>
                <w:sz w:val="20"/>
                <w:szCs w:val="20"/>
              </w:rPr>
            </w:pPr>
            <w:r w:rsidRPr="00BF10B0">
              <w:rPr>
                <w:rFonts w:ascii="Times New Roman" w:hAnsi="Times New Roman" w:cs="Times New Roman"/>
                <w:b/>
                <w:sz w:val="20"/>
                <w:szCs w:val="20"/>
              </w:rPr>
              <w:t>10,5</w:t>
            </w:r>
          </w:p>
        </w:tc>
        <w:tc>
          <w:tcPr>
            <w:tcW w:w="672" w:type="dxa"/>
            <w:shd w:val="clear" w:color="auto" w:fill="D9D9D9" w:themeFill="background1" w:themeFillShade="D9"/>
            <w:noWrap/>
            <w:hideMark/>
          </w:tcPr>
          <w:p w:rsidR="007133A6" w:rsidRPr="00BF10B0" w:rsidRDefault="007133A6" w:rsidP="00F6398B">
            <w:pPr>
              <w:spacing w:line="276" w:lineRule="auto"/>
              <w:jc w:val="center"/>
              <w:rPr>
                <w:rFonts w:ascii="Times New Roman" w:hAnsi="Times New Roman" w:cs="Times New Roman"/>
                <w:b/>
                <w:sz w:val="20"/>
                <w:szCs w:val="20"/>
              </w:rPr>
            </w:pPr>
            <w:r w:rsidRPr="00BF10B0">
              <w:rPr>
                <w:rFonts w:ascii="Times New Roman" w:hAnsi="Times New Roman" w:cs="Times New Roman"/>
                <w:b/>
                <w:sz w:val="20"/>
                <w:szCs w:val="20"/>
              </w:rPr>
              <w:t>2,6</w:t>
            </w:r>
          </w:p>
        </w:tc>
        <w:tc>
          <w:tcPr>
            <w:tcW w:w="672" w:type="dxa"/>
            <w:shd w:val="clear" w:color="auto" w:fill="D9D9D9" w:themeFill="background1" w:themeFillShade="D9"/>
            <w:noWrap/>
            <w:hideMark/>
          </w:tcPr>
          <w:p w:rsidR="007133A6" w:rsidRPr="00BF10B0" w:rsidRDefault="007133A6" w:rsidP="00F6398B">
            <w:pPr>
              <w:spacing w:line="276" w:lineRule="auto"/>
              <w:jc w:val="center"/>
              <w:rPr>
                <w:rFonts w:ascii="Times New Roman" w:hAnsi="Times New Roman" w:cs="Times New Roman"/>
                <w:b/>
                <w:sz w:val="20"/>
                <w:szCs w:val="20"/>
              </w:rPr>
            </w:pPr>
            <w:r w:rsidRPr="00BF10B0">
              <w:rPr>
                <w:rFonts w:ascii="Times New Roman" w:hAnsi="Times New Roman" w:cs="Times New Roman"/>
                <w:b/>
                <w:sz w:val="20"/>
                <w:szCs w:val="20"/>
              </w:rPr>
              <w:t>12,9</w:t>
            </w:r>
          </w:p>
        </w:tc>
        <w:tc>
          <w:tcPr>
            <w:tcW w:w="672" w:type="dxa"/>
            <w:shd w:val="clear" w:color="auto" w:fill="D9D9D9" w:themeFill="background1" w:themeFillShade="D9"/>
            <w:noWrap/>
            <w:hideMark/>
          </w:tcPr>
          <w:p w:rsidR="007133A6" w:rsidRPr="00BF10B0" w:rsidRDefault="007133A6" w:rsidP="00F6398B">
            <w:pPr>
              <w:spacing w:line="276" w:lineRule="auto"/>
              <w:jc w:val="center"/>
              <w:rPr>
                <w:rFonts w:ascii="Times New Roman" w:hAnsi="Times New Roman" w:cs="Times New Roman"/>
                <w:b/>
                <w:sz w:val="20"/>
                <w:szCs w:val="20"/>
              </w:rPr>
            </w:pPr>
            <w:r w:rsidRPr="00BF10B0">
              <w:rPr>
                <w:rFonts w:ascii="Times New Roman" w:hAnsi="Times New Roman" w:cs="Times New Roman"/>
                <w:b/>
                <w:sz w:val="20"/>
                <w:szCs w:val="20"/>
              </w:rPr>
              <w:t>38,1</w:t>
            </w:r>
          </w:p>
        </w:tc>
        <w:tc>
          <w:tcPr>
            <w:tcW w:w="1135" w:type="dxa"/>
            <w:shd w:val="clear" w:color="auto" w:fill="D9D9D9" w:themeFill="background1" w:themeFillShade="D9"/>
            <w:noWrap/>
            <w:hideMark/>
          </w:tcPr>
          <w:p w:rsidR="007133A6" w:rsidRPr="00BF10B0" w:rsidRDefault="007133A6" w:rsidP="00F6398B">
            <w:pPr>
              <w:spacing w:line="276" w:lineRule="auto"/>
              <w:jc w:val="center"/>
              <w:rPr>
                <w:rFonts w:ascii="Times New Roman" w:hAnsi="Times New Roman" w:cs="Times New Roman"/>
                <w:b/>
                <w:sz w:val="20"/>
                <w:szCs w:val="20"/>
              </w:rPr>
            </w:pPr>
            <w:r w:rsidRPr="00BF10B0">
              <w:rPr>
                <w:rFonts w:ascii="Times New Roman" w:hAnsi="Times New Roman" w:cs="Times New Roman"/>
                <w:b/>
                <w:sz w:val="20"/>
                <w:szCs w:val="20"/>
              </w:rPr>
              <w:t>44,0</w:t>
            </w:r>
          </w:p>
        </w:tc>
      </w:tr>
      <w:tr w:rsidR="007133A6" w:rsidRPr="007133A6" w:rsidTr="00894D60">
        <w:trPr>
          <w:trHeight w:val="225"/>
        </w:trPr>
        <w:tc>
          <w:tcPr>
            <w:tcW w:w="1083" w:type="dxa"/>
            <w:noWrap/>
            <w:hideMark/>
          </w:tcPr>
          <w:p w:rsidR="007133A6" w:rsidRPr="00961E1E" w:rsidRDefault="00BF10B0" w:rsidP="00F6398B">
            <w:pPr>
              <w:spacing w:line="276" w:lineRule="auto"/>
              <w:rPr>
                <w:rFonts w:ascii="Times New Roman" w:hAnsi="Times New Roman" w:cs="Times New Roman"/>
                <w:sz w:val="20"/>
                <w:szCs w:val="20"/>
              </w:rPr>
            </w:pPr>
            <w:proofErr w:type="spellStart"/>
            <w:r>
              <w:rPr>
                <w:rFonts w:ascii="Times New Roman" w:hAnsi="Times New Roman" w:cs="Times New Roman"/>
                <w:sz w:val="20"/>
                <w:szCs w:val="20"/>
              </w:rPr>
              <w:t>Chorwacja</w:t>
            </w:r>
            <w:proofErr w:type="spellEnd"/>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16,8</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3,1</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4,6</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13,8</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0,7</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2,4</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14,1</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2,4</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10,5</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31,5</w:t>
            </w:r>
          </w:p>
        </w:tc>
        <w:tc>
          <w:tcPr>
            <w:tcW w:w="1135"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46,8</w:t>
            </w:r>
          </w:p>
        </w:tc>
      </w:tr>
      <w:tr w:rsidR="007133A6" w:rsidRPr="007133A6" w:rsidTr="00894D60">
        <w:trPr>
          <w:trHeight w:val="225"/>
        </w:trPr>
        <w:tc>
          <w:tcPr>
            <w:tcW w:w="1083" w:type="dxa"/>
            <w:noWrap/>
            <w:hideMark/>
          </w:tcPr>
          <w:p w:rsidR="007133A6" w:rsidRPr="00961E1E" w:rsidRDefault="007133A6" w:rsidP="00BF10B0">
            <w:pPr>
              <w:spacing w:line="276" w:lineRule="auto"/>
              <w:rPr>
                <w:rFonts w:ascii="Times New Roman" w:hAnsi="Times New Roman" w:cs="Times New Roman"/>
                <w:sz w:val="20"/>
                <w:szCs w:val="20"/>
              </w:rPr>
            </w:pPr>
            <w:proofErr w:type="spellStart"/>
            <w:r w:rsidRPr="00961E1E">
              <w:rPr>
                <w:rFonts w:ascii="Times New Roman" w:hAnsi="Times New Roman" w:cs="Times New Roman"/>
                <w:sz w:val="20"/>
                <w:szCs w:val="20"/>
              </w:rPr>
              <w:t>S</w:t>
            </w:r>
            <w:r w:rsidR="00BF10B0">
              <w:rPr>
                <w:rFonts w:ascii="Times New Roman" w:hAnsi="Times New Roman" w:cs="Times New Roman"/>
                <w:sz w:val="20"/>
                <w:szCs w:val="20"/>
              </w:rPr>
              <w:t>łowenia</w:t>
            </w:r>
            <w:proofErr w:type="spellEnd"/>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12,7</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2,7</w:t>
            </w:r>
          </w:p>
        </w:tc>
        <w:tc>
          <w:tcPr>
            <w:tcW w:w="672" w:type="dxa"/>
            <w:noWrap/>
            <w:hideMark/>
          </w:tcPr>
          <w:p w:rsidR="007133A6" w:rsidRPr="00961E1E" w:rsidRDefault="007133A6" w:rsidP="00F6398B">
            <w:pPr>
              <w:spacing w:line="276" w:lineRule="auto"/>
              <w:jc w:val="center"/>
              <w:rPr>
                <w:rFonts w:ascii="Times New Roman" w:hAnsi="Times New Roman" w:cs="Times New Roman"/>
                <w:bCs/>
                <w:sz w:val="20"/>
                <w:szCs w:val="20"/>
              </w:rPr>
            </w:pPr>
            <w:r w:rsidRPr="00961E1E">
              <w:rPr>
                <w:rFonts w:ascii="Times New Roman" w:hAnsi="Times New Roman" w:cs="Times New Roman"/>
                <w:bCs/>
                <w:sz w:val="20"/>
                <w:szCs w:val="20"/>
              </w:rPr>
              <w:t>3,8</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10,9</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1,7</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1,4</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13,8</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3,3</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13,4</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36,2</w:t>
            </w:r>
          </w:p>
        </w:tc>
        <w:tc>
          <w:tcPr>
            <w:tcW w:w="1135"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47,6</w:t>
            </w:r>
          </w:p>
        </w:tc>
      </w:tr>
      <w:tr w:rsidR="007133A6" w:rsidRPr="007133A6" w:rsidTr="00894D60">
        <w:trPr>
          <w:trHeight w:val="70"/>
        </w:trPr>
        <w:tc>
          <w:tcPr>
            <w:tcW w:w="1083" w:type="dxa"/>
            <w:noWrap/>
            <w:hideMark/>
          </w:tcPr>
          <w:p w:rsidR="007133A6" w:rsidRPr="00961E1E" w:rsidRDefault="00BF10B0" w:rsidP="00F6398B">
            <w:pPr>
              <w:spacing w:line="276" w:lineRule="auto"/>
              <w:rPr>
                <w:rFonts w:ascii="Times New Roman" w:hAnsi="Times New Roman" w:cs="Times New Roman"/>
                <w:sz w:val="20"/>
                <w:szCs w:val="20"/>
              </w:rPr>
            </w:pPr>
            <w:proofErr w:type="spellStart"/>
            <w:r>
              <w:rPr>
                <w:rFonts w:ascii="Times New Roman" w:hAnsi="Times New Roman" w:cs="Times New Roman"/>
                <w:sz w:val="20"/>
                <w:szCs w:val="20"/>
              </w:rPr>
              <w:t>Węgry</w:t>
            </w:r>
            <w:proofErr w:type="spellEnd"/>
          </w:p>
        </w:tc>
        <w:tc>
          <w:tcPr>
            <w:tcW w:w="672" w:type="dxa"/>
            <w:noWrap/>
            <w:hideMark/>
          </w:tcPr>
          <w:p w:rsidR="007133A6" w:rsidRPr="00961E1E" w:rsidRDefault="007133A6" w:rsidP="00F6398B">
            <w:pPr>
              <w:spacing w:line="276" w:lineRule="auto"/>
              <w:jc w:val="center"/>
              <w:rPr>
                <w:rFonts w:ascii="Times New Roman" w:hAnsi="Times New Roman" w:cs="Times New Roman"/>
                <w:bCs/>
                <w:sz w:val="20"/>
                <w:szCs w:val="20"/>
              </w:rPr>
            </w:pPr>
            <w:r w:rsidRPr="00961E1E">
              <w:rPr>
                <w:rFonts w:ascii="Times New Roman" w:hAnsi="Times New Roman" w:cs="Times New Roman"/>
                <w:bCs/>
                <w:sz w:val="20"/>
                <w:szCs w:val="20"/>
              </w:rPr>
              <w:t>19,3</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2,2</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4,0</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12,6</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1,4</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1,8</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10,7</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3,4</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11,0</w:t>
            </w:r>
          </w:p>
        </w:tc>
        <w:tc>
          <w:tcPr>
            <w:tcW w:w="672"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33,5</w:t>
            </w:r>
          </w:p>
        </w:tc>
        <w:tc>
          <w:tcPr>
            <w:tcW w:w="1135" w:type="dxa"/>
            <w:noWrap/>
            <w:hideMark/>
          </w:tcPr>
          <w:p w:rsidR="007133A6" w:rsidRPr="00961E1E" w:rsidRDefault="007133A6" w:rsidP="00F6398B">
            <w:pPr>
              <w:spacing w:line="276" w:lineRule="auto"/>
              <w:jc w:val="center"/>
              <w:rPr>
                <w:rFonts w:ascii="Times New Roman" w:hAnsi="Times New Roman" w:cs="Times New Roman"/>
                <w:sz w:val="20"/>
                <w:szCs w:val="20"/>
              </w:rPr>
            </w:pPr>
            <w:r w:rsidRPr="00961E1E">
              <w:rPr>
                <w:rFonts w:ascii="Times New Roman" w:hAnsi="Times New Roman" w:cs="Times New Roman"/>
                <w:sz w:val="20"/>
                <w:szCs w:val="20"/>
              </w:rPr>
              <w:t>49,7</w:t>
            </w:r>
          </w:p>
        </w:tc>
      </w:tr>
      <w:tr w:rsidR="007133A6" w:rsidRPr="00443DBC" w:rsidTr="00894D60">
        <w:trPr>
          <w:trHeight w:val="225"/>
        </w:trPr>
        <w:tc>
          <w:tcPr>
            <w:tcW w:w="1083" w:type="dxa"/>
            <w:noWrap/>
            <w:hideMark/>
          </w:tcPr>
          <w:p w:rsidR="007133A6" w:rsidRPr="00443DBC" w:rsidRDefault="007133A6" w:rsidP="00F6398B">
            <w:pPr>
              <w:spacing w:line="276" w:lineRule="auto"/>
              <w:rPr>
                <w:rFonts w:ascii="Times New Roman" w:hAnsi="Times New Roman" w:cs="Times New Roman"/>
                <w:i/>
                <w:sz w:val="20"/>
                <w:szCs w:val="20"/>
              </w:rPr>
            </w:pPr>
            <w:r w:rsidRPr="00443DBC">
              <w:rPr>
                <w:rFonts w:ascii="Times New Roman" w:hAnsi="Times New Roman" w:cs="Times New Roman"/>
                <w:i/>
                <w:sz w:val="20"/>
                <w:szCs w:val="20"/>
              </w:rPr>
              <w:t>ŚREDNIA</w:t>
            </w:r>
          </w:p>
        </w:tc>
        <w:tc>
          <w:tcPr>
            <w:tcW w:w="672" w:type="dxa"/>
            <w:noWrap/>
            <w:hideMark/>
          </w:tcPr>
          <w:p w:rsidR="007133A6" w:rsidRPr="00443DBC" w:rsidRDefault="007133A6" w:rsidP="00F6398B">
            <w:pPr>
              <w:spacing w:line="276" w:lineRule="auto"/>
              <w:jc w:val="center"/>
              <w:rPr>
                <w:rFonts w:ascii="Times New Roman" w:hAnsi="Times New Roman" w:cs="Times New Roman"/>
                <w:i/>
                <w:sz w:val="20"/>
                <w:szCs w:val="20"/>
              </w:rPr>
            </w:pPr>
            <w:r w:rsidRPr="00443DBC">
              <w:rPr>
                <w:rFonts w:ascii="Times New Roman" w:hAnsi="Times New Roman" w:cs="Times New Roman"/>
                <w:i/>
                <w:sz w:val="20"/>
                <w:szCs w:val="20"/>
              </w:rPr>
              <w:t>13,3</w:t>
            </w:r>
          </w:p>
        </w:tc>
        <w:tc>
          <w:tcPr>
            <w:tcW w:w="672" w:type="dxa"/>
            <w:noWrap/>
            <w:hideMark/>
          </w:tcPr>
          <w:p w:rsidR="007133A6" w:rsidRPr="00443DBC" w:rsidRDefault="007133A6" w:rsidP="00F6398B">
            <w:pPr>
              <w:spacing w:line="276" w:lineRule="auto"/>
              <w:jc w:val="center"/>
              <w:rPr>
                <w:rFonts w:ascii="Times New Roman" w:hAnsi="Times New Roman" w:cs="Times New Roman"/>
                <w:i/>
                <w:sz w:val="20"/>
                <w:szCs w:val="20"/>
              </w:rPr>
            </w:pPr>
            <w:r w:rsidRPr="00443DBC">
              <w:rPr>
                <w:rFonts w:ascii="Times New Roman" w:hAnsi="Times New Roman" w:cs="Times New Roman"/>
                <w:i/>
                <w:sz w:val="20"/>
                <w:szCs w:val="20"/>
              </w:rPr>
              <w:t>3,3</w:t>
            </w:r>
          </w:p>
        </w:tc>
        <w:tc>
          <w:tcPr>
            <w:tcW w:w="672" w:type="dxa"/>
            <w:noWrap/>
            <w:hideMark/>
          </w:tcPr>
          <w:p w:rsidR="007133A6" w:rsidRPr="00443DBC" w:rsidRDefault="007133A6" w:rsidP="00F6398B">
            <w:pPr>
              <w:spacing w:line="276" w:lineRule="auto"/>
              <w:jc w:val="center"/>
              <w:rPr>
                <w:rFonts w:ascii="Times New Roman" w:hAnsi="Times New Roman" w:cs="Times New Roman"/>
                <w:i/>
                <w:sz w:val="20"/>
                <w:szCs w:val="20"/>
              </w:rPr>
            </w:pPr>
            <w:r w:rsidRPr="00443DBC">
              <w:rPr>
                <w:rFonts w:ascii="Times New Roman" w:hAnsi="Times New Roman" w:cs="Times New Roman"/>
                <w:i/>
                <w:sz w:val="20"/>
                <w:szCs w:val="20"/>
              </w:rPr>
              <w:t>5,2</w:t>
            </w:r>
          </w:p>
        </w:tc>
        <w:tc>
          <w:tcPr>
            <w:tcW w:w="672" w:type="dxa"/>
            <w:noWrap/>
            <w:hideMark/>
          </w:tcPr>
          <w:p w:rsidR="007133A6" w:rsidRPr="00443DBC" w:rsidRDefault="007133A6" w:rsidP="00F6398B">
            <w:pPr>
              <w:spacing w:line="276" w:lineRule="auto"/>
              <w:jc w:val="center"/>
              <w:rPr>
                <w:rFonts w:ascii="Times New Roman" w:hAnsi="Times New Roman" w:cs="Times New Roman"/>
                <w:i/>
                <w:sz w:val="20"/>
                <w:szCs w:val="20"/>
              </w:rPr>
            </w:pPr>
            <w:r w:rsidRPr="00443DBC">
              <w:rPr>
                <w:rFonts w:ascii="Times New Roman" w:hAnsi="Times New Roman" w:cs="Times New Roman"/>
                <w:i/>
                <w:sz w:val="20"/>
                <w:szCs w:val="20"/>
              </w:rPr>
              <w:t>13,1</w:t>
            </w:r>
          </w:p>
        </w:tc>
        <w:tc>
          <w:tcPr>
            <w:tcW w:w="672" w:type="dxa"/>
            <w:noWrap/>
            <w:hideMark/>
          </w:tcPr>
          <w:p w:rsidR="007133A6" w:rsidRPr="00443DBC" w:rsidRDefault="007133A6" w:rsidP="00F6398B">
            <w:pPr>
              <w:spacing w:line="276" w:lineRule="auto"/>
              <w:jc w:val="center"/>
              <w:rPr>
                <w:rFonts w:ascii="Times New Roman" w:hAnsi="Times New Roman" w:cs="Times New Roman"/>
                <w:i/>
                <w:sz w:val="20"/>
                <w:szCs w:val="20"/>
              </w:rPr>
            </w:pPr>
            <w:r w:rsidRPr="00443DBC">
              <w:rPr>
                <w:rFonts w:ascii="Times New Roman" w:hAnsi="Times New Roman" w:cs="Times New Roman"/>
                <w:i/>
                <w:sz w:val="20"/>
                <w:szCs w:val="20"/>
              </w:rPr>
              <w:t>1,7</w:t>
            </w:r>
          </w:p>
        </w:tc>
        <w:tc>
          <w:tcPr>
            <w:tcW w:w="672" w:type="dxa"/>
            <w:noWrap/>
            <w:hideMark/>
          </w:tcPr>
          <w:p w:rsidR="007133A6" w:rsidRPr="00443DBC" w:rsidRDefault="007133A6" w:rsidP="00F6398B">
            <w:pPr>
              <w:spacing w:line="276" w:lineRule="auto"/>
              <w:jc w:val="center"/>
              <w:rPr>
                <w:rFonts w:ascii="Times New Roman" w:hAnsi="Times New Roman" w:cs="Times New Roman"/>
                <w:i/>
                <w:sz w:val="20"/>
                <w:szCs w:val="20"/>
              </w:rPr>
            </w:pPr>
            <w:r w:rsidRPr="00443DBC">
              <w:rPr>
                <w:rFonts w:ascii="Times New Roman" w:hAnsi="Times New Roman" w:cs="Times New Roman"/>
                <w:i/>
                <w:sz w:val="20"/>
                <w:szCs w:val="20"/>
              </w:rPr>
              <w:t>2,2</w:t>
            </w:r>
          </w:p>
        </w:tc>
        <w:tc>
          <w:tcPr>
            <w:tcW w:w="672" w:type="dxa"/>
            <w:noWrap/>
            <w:hideMark/>
          </w:tcPr>
          <w:p w:rsidR="007133A6" w:rsidRPr="00443DBC" w:rsidRDefault="007133A6" w:rsidP="00F6398B">
            <w:pPr>
              <w:spacing w:line="276" w:lineRule="auto"/>
              <w:jc w:val="center"/>
              <w:rPr>
                <w:rFonts w:ascii="Times New Roman" w:hAnsi="Times New Roman" w:cs="Times New Roman"/>
                <w:i/>
                <w:sz w:val="20"/>
                <w:szCs w:val="20"/>
              </w:rPr>
            </w:pPr>
            <w:r w:rsidRPr="00443DBC">
              <w:rPr>
                <w:rFonts w:ascii="Times New Roman" w:hAnsi="Times New Roman" w:cs="Times New Roman"/>
                <w:i/>
                <w:sz w:val="20"/>
                <w:szCs w:val="20"/>
              </w:rPr>
              <w:t>11,9</w:t>
            </w:r>
          </w:p>
        </w:tc>
        <w:tc>
          <w:tcPr>
            <w:tcW w:w="672" w:type="dxa"/>
            <w:noWrap/>
            <w:hideMark/>
          </w:tcPr>
          <w:p w:rsidR="007133A6" w:rsidRPr="00443DBC" w:rsidRDefault="007133A6" w:rsidP="00F6398B">
            <w:pPr>
              <w:spacing w:line="276" w:lineRule="auto"/>
              <w:jc w:val="center"/>
              <w:rPr>
                <w:rFonts w:ascii="Times New Roman" w:hAnsi="Times New Roman" w:cs="Times New Roman"/>
                <w:i/>
                <w:sz w:val="20"/>
                <w:szCs w:val="20"/>
              </w:rPr>
            </w:pPr>
            <w:r w:rsidRPr="00443DBC">
              <w:rPr>
                <w:rFonts w:ascii="Times New Roman" w:hAnsi="Times New Roman" w:cs="Times New Roman"/>
                <w:i/>
                <w:sz w:val="20"/>
                <w:szCs w:val="20"/>
              </w:rPr>
              <w:t>3,1</w:t>
            </w:r>
          </w:p>
        </w:tc>
        <w:tc>
          <w:tcPr>
            <w:tcW w:w="672" w:type="dxa"/>
            <w:noWrap/>
            <w:hideMark/>
          </w:tcPr>
          <w:p w:rsidR="007133A6" w:rsidRPr="00443DBC" w:rsidRDefault="007133A6" w:rsidP="00F6398B">
            <w:pPr>
              <w:spacing w:line="276" w:lineRule="auto"/>
              <w:jc w:val="center"/>
              <w:rPr>
                <w:rFonts w:ascii="Times New Roman" w:hAnsi="Times New Roman" w:cs="Times New Roman"/>
                <w:i/>
                <w:sz w:val="20"/>
                <w:szCs w:val="20"/>
              </w:rPr>
            </w:pPr>
            <w:r w:rsidRPr="00443DBC">
              <w:rPr>
                <w:rFonts w:ascii="Times New Roman" w:hAnsi="Times New Roman" w:cs="Times New Roman"/>
                <w:i/>
                <w:sz w:val="20"/>
                <w:szCs w:val="20"/>
              </w:rPr>
              <w:t>12,5</w:t>
            </w:r>
          </w:p>
        </w:tc>
        <w:tc>
          <w:tcPr>
            <w:tcW w:w="672" w:type="dxa"/>
            <w:noWrap/>
            <w:hideMark/>
          </w:tcPr>
          <w:p w:rsidR="007133A6" w:rsidRPr="00443DBC" w:rsidRDefault="007133A6" w:rsidP="00F6398B">
            <w:pPr>
              <w:spacing w:line="276" w:lineRule="auto"/>
              <w:jc w:val="center"/>
              <w:rPr>
                <w:rFonts w:ascii="Times New Roman" w:hAnsi="Times New Roman" w:cs="Times New Roman"/>
                <w:i/>
                <w:sz w:val="20"/>
                <w:szCs w:val="20"/>
              </w:rPr>
            </w:pPr>
            <w:r w:rsidRPr="00443DBC">
              <w:rPr>
                <w:rFonts w:ascii="Times New Roman" w:hAnsi="Times New Roman" w:cs="Times New Roman"/>
                <w:i/>
                <w:sz w:val="20"/>
                <w:szCs w:val="20"/>
              </w:rPr>
              <w:t>33,6</w:t>
            </w:r>
          </w:p>
        </w:tc>
        <w:tc>
          <w:tcPr>
            <w:tcW w:w="1135" w:type="dxa"/>
            <w:noWrap/>
            <w:hideMark/>
          </w:tcPr>
          <w:p w:rsidR="007133A6" w:rsidRPr="00443DBC" w:rsidRDefault="007133A6" w:rsidP="00F6398B">
            <w:pPr>
              <w:spacing w:line="276" w:lineRule="auto"/>
              <w:jc w:val="center"/>
              <w:rPr>
                <w:rFonts w:ascii="Times New Roman" w:hAnsi="Times New Roman" w:cs="Times New Roman"/>
                <w:i/>
                <w:sz w:val="20"/>
                <w:szCs w:val="20"/>
              </w:rPr>
            </w:pPr>
            <w:r w:rsidRPr="00443DBC">
              <w:rPr>
                <w:rFonts w:ascii="Times New Roman" w:hAnsi="Times New Roman" w:cs="Times New Roman"/>
                <w:i/>
                <w:sz w:val="20"/>
                <w:szCs w:val="20"/>
              </w:rPr>
              <w:t>41,5</w:t>
            </w:r>
          </w:p>
        </w:tc>
      </w:tr>
    </w:tbl>
    <w:p w:rsidR="00BF10B0" w:rsidRDefault="00BF10B0" w:rsidP="00BF10B0">
      <w:pPr>
        <w:rPr>
          <w:rFonts w:ascii="Times New Roman" w:hAnsi="Times New Roman" w:cs="Times New Roman"/>
          <w:sz w:val="20"/>
          <w:szCs w:val="20"/>
          <w:lang w:val="pl-PL"/>
        </w:rPr>
      </w:pPr>
      <w:r w:rsidRPr="00F276A5">
        <w:rPr>
          <w:rFonts w:ascii="Times New Roman" w:hAnsi="Times New Roman" w:cs="Times New Roman"/>
          <w:i/>
          <w:sz w:val="20"/>
          <w:szCs w:val="20"/>
          <w:lang w:val="pl-PL"/>
        </w:rPr>
        <w:t>Źródło</w:t>
      </w:r>
      <w:r>
        <w:rPr>
          <w:rFonts w:ascii="Times New Roman" w:hAnsi="Times New Roman" w:cs="Times New Roman"/>
          <w:sz w:val="20"/>
          <w:szCs w:val="20"/>
          <w:lang w:val="pl-PL"/>
        </w:rPr>
        <w:t xml:space="preserve">: Obliczenia własne na podstawie danych z EUROSTATU.  </w:t>
      </w:r>
    </w:p>
    <w:p w:rsidR="007807C9" w:rsidRDefault="00961E1E" w:rsidP="00421061">
      <w:pPr>
        <w:spacing w:after="0" w:line="360" w:lineRule="auto"/>
        <w:ind w:firstLine="720"/>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Największy udział w strukturze wydatków, stanowiący 33,</w:t>
      </w:r>
      <w:r w:rsidR="007807C9">
        <w:rPr>
          <w:rFonts w:ascii="Times New Roman" w:hAnsi="Times New Roman" w:cs="Times New Roman"/>
          <w:sz w:val="24"/>
          <w:szCs w:val="24"/>
          <w:lang w:val="pl-PL"/>
        </w:rPr>
        <w:t>6</w:t>
      </w:r>
      <w:r>
        <w:rPr>
          <w:rFonts w:ascii="Times New Roman" w:hAnsi="Times New Roman" w:cs="Times New Roman"/>
          <w:sz w:val="24"/>
          <w:szCs w:val="24"/>
          <w:lang w:val="pl-PL"/>
        </w:rPr>
        <w:t xml:space="preserve">% wydatków ogółem, </w:t>
      </w:r>
      <w:r w:rsidR="007807C9">
        <w:rPr>
          <w:rFonts w:ascii="Times New Roman" w:hAnsi="Times New Roman" w:cs="Times New Roman"/>
          <w:sz w:val="24"/>
          <w:szCs w:val="24"/>
          <w:lang w:val="pl-PL"/>
        </w:rPr>
        <w:t>miały</w:t>
      </w:r>
      <w:r w:rsidR="00662680">
        <w:rPr>
          <w:rFonts w:ascii="Times New Roman" w:hAnsi="Times New Roman" w:cs="Times New Roman"/>
          <w:sz w:val="24"/>
          <w:szCs w:val="24"/>
          <w:lang w:val="pl-PL"/>
        </w:rPr>
        <w:t xml:space="preserve"> wydatki na </w:t>
      </w:r>
      <w:r w:rsidR="00BF10B0">
        <w:rPr>
          <w:rFonts w:ascii="Times New Roman" w:hAnsi="Times New Roman" w:cs="Times New Roman"/>
          <w:sz w:val="24"/>
          <w:szCs w:val="24"/>
          <w:lang w:val="pl-PL"/>
        </w:rPr>
        <w:t>opiekę</w:t>
      </w:r>
      <w:r w:rsidR="00662680">
        <w:rPr>
          <w:rFonts w:ascii="Times New Roman" w:hAnsi="Times New Roman" w:cs="Times New Roman"/>
          <w:sz w:val="24"/>
          <w:szCs w:val="24"/>
          <w:lang w:val="pl-PL"/>
        </w:rPr>
        <w:t xml:space="preserve"> socjaln</w:t>
      </w:r>
      <w:r w:rsidR="00BF10B0">
        <w:rPr>
          <w:rFonts w:ascii="Times New Roman" w:hAnsi="Times New Roman" w:cs="Times New Roman"/>
          <w:sz w:val="24"/>
          <w:szCs w:val="24"/>
          <w:lang w:val="pl-PL"/>
        </w:rPr>
        <w:t>ą</w:t>
      </w:r>
      <w:r w:rsidR="00662680">
        <w:rPr>
          <w:rFonts w:ascii="Times New Roman" w:hAnsi="Times New Roman" w:cs="Times New Roman"/>
          <w:sz w:val="24"/>
          <w:szCs w:val="24"/>
          <w:lang w:val="pl-PL"/>
        </w:rPr>
        <w:t xml:space="preserve">, </w:t>
      </w:r>
      <w:r w:rsidR="007807C9">
        <w:rPr>
          <w:rFonts w:ascii="Times New Roman" w:hAnsi="Times New Roman" w:cs="Times New Roman"/>
          <w:sz w:val="24"/>
          <w:szCs w:val="24"/>
          <w:lang w:val="pl-PL"/>
        </w:rPr>
        <w:t xml:space="preserve">natomiast </w:t>
      </w:r>
      <w:r w:rsidR="00A0096E">
        <w:rPr>
          <w:rFonts w:ascii="Times New Roman" w:hAnsi="Times New Roman" w:cs="Times New Roman"/>
          <w:sz w:val="24"/>
          <w:szCs w:val="24"/>
          <w:lang w:val="pl-PL"/>
        </w:rPr>
        <w:t xml:space="preserve">średni udział, </w:t>
      </w:r>
      <w:r w:rsidR="007807C9">
        <w:rPr>
          <w:rFonts w:ascii="Times New Roman" w:hAnsi="Times New Roman" w:cs="Times New Roman"/>
          <w:sz w:val="24"/>
          <w:szCs w:val="24"/>
          <w:lang w:val="pl-PL"/>
        </w:rPr>
        <w:t>około 13</w:t>
      </w:r>
      <w:r w:rsidR="00A0096E">
        <w:rPr>
          <w:rFonts w:ascii="Times New Roman" w:hAnsi="Times New Roman" w:cs="Times New Roman"/>
          <w:sz w:val="24"/>
          <w:szCs w:val="24"/>
          <w:lang w:val="pl-PL"/>
        </w:rPr>
        <w:t>%,</w:t>
      </w:r>
      <w:r w:rsidR="00662680">
        <w:rPr>
          <w:rFonts w:ascii="Times New Roman" w:hAnsi="Times New Roman" w:cs="Times New Roman"/>
          <w:sz w:val="24"/>
          <w:szCs w:val="24"/>
          <w:lang w:val="pl-PL"/>
        </w:rPr>
        <w:t xml:space="preserve"> miały wydatki na </w:t>
      </w:r>
      <w:r w:rsidR="00310BB8">
        <w:rPr>
          <w:rFonts w:ascii="Times New Roman" w:hAnsi="Times New Roman" w:cs="Times New Roman"/>
          <w:sz w:val="24"/>
          <w:szCs w:val="24"/>
          <w:lang w:val="pl-PL"/>
        </w:rPr>
        <w:t>sprawy ogólnopaństwowe (</w:t>
      </w:r>
      <w:r w:rsidR="00A0096E">
        <w:rPr>
          <w:rFonts w:ascii="Times New Roman" w:hAnsi="Times New Roman" w:cs="Times New Roman"/>
          <w:sz w:val="24"/>
          <w:szCs w:val="24"/>
          <w:lang w:val="pl-PL"/>
        </w:rPr>
        <w:t xml:space="preserve">zawierające </w:t>
      </w:r>
      <w:r w:rsidR="00310BB8">
        <w:rPr>
          <w:rFonts w:ascii="Times New Roman" w:hAnsi="Times New Roman" w:cs="Times New Roman"/>
          <w:sz w:val="24"/>
          <w:szCs w:val="24"/>
          <w:lang w:val="pl-PL"/>
        </w:rPr>
        <w:t xml:space="preserve">m.in. </w:t>
      </w:r>
      <w:r w:rsidR="00A0096E">
        <w:rPr>
          <w:rFonts w:ascii="Times New Roman" w:hAnsi="Times New Roman" w:cs="Times New Roman"/>
          <w:sz w:val="24"/>
          <w:szCs w:val="24"/>
          <w:lang w:val="pl-PL"/>
        </w:rPr>
        <w:t>wydatki</w:t>
      </w:r>
      <w:r w:rsidR="00CB38E1">
        <w:rPr>
          <w:rFonts w:ascii="Times New Roman" w:hAnsi="Times New Roman" w:cs="Times New Roman"/>
          <w:sz w:val="24"/>
          <w:szCs w:val="24"/>
          <w:lang w:val="pl-PL"/>
        </w:rPr>
        <w:t xml:space="preserve"> na obsługę długu publicznego)</w:t>
      </w:r>
      <w:r w:rsidR="00662680">
        <w:rPr>
          <w:rFonts w:ascii="Times New Roman" w:hAnsi="Times New Roman" w:cs="Times New Roman"/>
          <w:sz w:val="24"/>
          <w:szCs w:val="24"/>
          <w:lang w:val="pl-PL"/>
        </w:rPr>
        <w:t xml:space="preserve">, na </w:t>
      </w:r>
      <w:r w:rsidR="00310BB8">
        <w:rPr>
          <w:rFonts w:ascii="Times New Roman" w:hAnsi="Times New Roman" w:cs="Times New Roman"/>
          <w:sz w:val="24"/>
          <w:szCs w:val="24"/>
          <w:lang w:val="pl-PL"/>
        </w:rPr>
        <w:t>sprawy gospodarcze</w:t>
      </w:r>
      <w:r w:rsidR="00662680">
        <w:rPr>
          <w:rFonts w:ascii="Times New Roman" w:hAnsi="Times New Roman" w:cs="Times New Roman"/>
          <w:sz w:val="24"/>
          <w:szCs w:val="24"/>
          <w:lang w:val="pl-PL"/>
        </w:rPr>
        <w:t>, na o</w:t>
      </w:r>
      <w:r w:rsidR="00BF10B0">
        <w:rPr>
          <w:rFonts w:ascii="Times New Roman" w:hAnsi="Times New Roman" w:cs="Times New Roman"/>
          <w:sz w:val="24"/>
          <w:szCs w:val="24"/>
          <w:lang w:val="pl-PL"/>
        </w:rPr>
        <w:t>chronę</w:t>
      </w:r>
      <w:r w:rsidR="00662680">
        <w:rPr>
          <w:rFonts w:ascii="Times New Roman" w:hAnsi="Times New Roman" w:cs="Times New Roman"/>
          <w:sz w:val="24"/>
          <w:szCs w:val="24"/>
          <w:lang w:val="pl-PL"/>
        </w:rPr>
        <w:t xml:space="preserve"> zdrow</w:t>
      </w:r>
      <w:r w:rsidR="00BF10B0">
        <w:rPr>
          <w:rFonts w:ascii="Times New Roman" w:hAnsi="Times New Roman" w:cs="Times New Roman"/>
          <w:sz w:val="24"/>
          <w:szCs w:val="24"/>
          <w:lang w:val="pl-PL"/>
        </w:rPr>
        <w:t>ia</w:t>
      </w:r>
      <w:r w:rsidR="00662680">
        <w:rPr>
          <w:rFonts w:ascii="Times New Roman" w:hAnsi="Times New Roman" w:cs="Times New Roman"/>
          <w:sz w:val="24"/>
          <w:szCs w:val="24"/>
          <w:lang w:val="pl-PL"/>
        </w:rPr>
        <w:t xml:space="preserve"> oraz na edukację. </w:t>
      </w:r>
      <w:r w:rsidR="007807C9">
        <w:rPr>
          <w:rFonts w:ascii="Times New Roman" w:hAnsi="Times New Roman" w:cs="Times New Roman"/>
          <w:sz w:val="24"/>
          <w:szCs w:val="24"/>
          <w:lang w:val="pl-PL"/>
        </w:rPr>
        <w:t>Udział pozostałych grup był relatywnie niewielki i kształtował się w przedziale od 1,7% (</w:t>
      </w:r>
      <w:r w:rsidR="00310BB8">
        <w:rPr>
          <w:rFonts w:ascii="Times New Roman" w:hAnsi="Times New Roman" w:cs="Times New Roman"/>
          <w:sz w:val="24"/>
          <w:szCs w:val="24"/>
          <w:lang w:val="pl-PL"/>
        </w:rPr>
        <w:t>wydatki na ochronę środowiska</w:t>
      </w:r>
      <w:r w:rsidR="007807C9">
        <w:rPr>
          <w:rFonts w:ascii="Times New Roman" w:hAnsi="Times New Roman" w:cs="Times New Roman"/>
          <w:sz w:val="24"/>
          <w:szCs w:val="24"/>
          <w:lang w:val="pl-PL"/>
        </w:rPr>
        <w:t>) do 5,2% (</w:t>
      </w:r>
      <w:r w:rsidR="00310BB8">
        <w:rPr>
          <w:rFonts w:ascii="Times New Roman" w:hAnsi="Times New Roman" w:cs="Times New Roman"/>
          <w:sz w:val="24"/>
          <w:szCs w:val="24"/>
          <w:lang w:val="pl-PL"/>
        </w:rPr>
        <w:t>wydatki na porządek publiczny i bezpieczeństwo</w:t>
      </w:r>
      <w:r w:rsidR="007807C9">
        <w:rPr>
          <w:rFonts w:ascii="Times New Roman" w:hAnsi="Times New Roman" w:cs="Times New Roman"/>
          <w:sz w:val="24"/>
          <w:szCs w:val="24"/>
          <w:lang w:val="pl-PL"/>
        </w:rPr>
        <w:t xml:space="preserve">). </w:t>
      </w:r>
      <w:r w:rsidR="00662680">
        <w:rPr>
          <w:rFonts w:ascii="Times New Roman" w:hAnsi="Times New Roman" w:cs="Times New Roman"/>
          <w:sz w:val="24"/>
          <w:szCs w:val="24"/>
          <w:lang w:val="pl-PL"/>
        </w:rPr>
        <w:t xml:space="preserve">Jednak struktura wydatków w różnych krajach była niejednorodna, co wskazuje na zróżnicowanie prowadzonej polityki społeczno-gospodarczej. </w:t>
      </w:r>
    </w:p>
    <w:p w:rsidR="007807C9" w:rsidRPr="009E6899" w:rsidRDefault="007807C9" w:rsidP="00CE3C2C">
      <w:pPr>
        <w:spacing w:after="0" w:line="360" w:lineRule="auto"/>
        <w:ind w:firstLine="72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Polska, na tle innych krajów ESW, miała silnie rozbudowane </w:t>
      </w:r>
      <w:r w:rsidRPr="009E6899">
        <w:rPr>
          <w:rFonts w:ascii="Times New Roman" w:hAnsi="Times New Roman" w:cs="Times New Roman"/>
          <w:sz w:val="24"/>
          <w:szCs w:val="24"/>
          <w:lang w:val="pl-PL"/>
        </w:rPr>
        <w:t xml:space="preserve">wydatki na cele socjalne (4,5 </w:t>
      </w:r>
      <w:proofErr w:type="spellStart"/>
      <w:r w:rsidRPr="009E6899">
        <w:rPr>
          <w:rFonts w:ascii="Times New Roman" w:hAnsi="Times New Roman" w:cs="Times New Roman"/>
          <w:sz w:val="24"/>
          <w:szCs w:val="24"/>
          <w:lang w:val="pl-PL"/>
        </w:rPr>
        <w:t>p.p</w:t>
      </w:r>
      <w:proofErr w:type="spellEnd"/>
      <w:r w:rsidRPr="009E6899">
        <w:rPr>
          <w:rFonts w:ascii="Times New Roman" w:hAnsi="Times New Roman" w:cs="Times New Roman"/>
          <w:sz w:val="24"/>
          <w:szCs w:val="24"/>
          <w:lang w:val="pl-PL"/>
        </w:rPr>
        <w:t xml:space="preserve">. powyżej średniej), zajmując drugie miejsce za Słowacją, w której wydatki na ten cel stanowiły niemal 47% wydatków ogółem.  Biorąc pod uwagę poziom wydatków w relacji do PKB, wydatki na cele socjalne w Polsce stanowiły 16,7%, wobec średniej 14%. Jedyny kraj ESW, wykazujący wyższy poziom wydatków  na cele socjalne, Słowacja, przeznaczyła na ten cel 18,7% PKB. Rozbudowanie funkcji socjalnej wydatków publicznych w Polsce odbyło się kosztem wydatków na opiekę zdrowotną (10,5% wydatków ogółem, czyli 1,4 </w:t>
      </w:r>
      <w:proofErr w:type="spellStart"/>
      <w:r w:rsidRPr="009E6899">
        <w:rPr>
          <w:rFonts w:ascii="Times New Roman" w:hAnsi="Times New Roman" w:cs="Times New Roman"/>
          <w:sz w:val="24"/>
          <w:szCs w:val="24"/>
          <w:lang w:val="pl-PL"/>
        </w:rPr>
        <w:t>p.p</w:t>
      </w:r>
      <w:proofErr w:type="spellEnd"/>
      <w:r w:rsidRPr="009E6899">
        <w:rPr>
          <w:rFonts w:ascii="Times New Roman" w:hAnsi="Times New Roman" w:cs="Times New Roman"/>
          <w:sz w:val="24"/>
          <w:szCs w:val="24"/>
          <w:lang w:val="pl-PL"/>
        </w:rPr>
        <w:t xml:space="preserve">. poniżej średniej) oraz wydatków na cele gospodarcze (10,2% wydatków ogółem, czyli 2,9 </w:t>
      </w:r>
      <w:proofErr w:type="spellStart"/>
      <w:r w:rsidRPr="009E6899">
        <w:rPr>
          <w:rFonts w:ascii="Times New Roman" w:hAnsi="Times New Roman" w:cs="Times New Roman"/>
          <w:sz w:val="24"/>
          <w:szCs w:val="24"/>
          <w:lang w:val="pl-PL"/>
        </w:rPr>
        <w:t>p.p</w:t>
      </w:r>
      <w:proofErr w:type="spellEnd"/>
      <w:r w:rsidRPr="009E6899">
        <w:rPr>
          <w:rFonts w:ascii="Times New Roman" w:hAnsi="Times New Roman" w:cs="Times New Roman"/>
          <w:sz w:val="24"/>
          <w:szCs w:val="24"/>
          <w:lang w:val="pl-PL"/>
        </w:rPr>
        <w:t xml:space="preserve">. poniżej średniej, co stanowiło minimum w grupie badanych krajów). Analizując dane w relacji do PKB, w Polsce na opiekę zdrowotną wydawano 4,6% PKB (średnia w krajach ESW 5% PKB), a niższy poziom zaobserwowano </w:t>
      </w:r>
      <w:r w:rsidR="008667A8" w:rsidRPr="009E6899">
        <w:rPr>
          <w:rFonts w:ascii="Times New Roman" w:hAnsi="Times New Roman" w:cs="Times New Roman"/>
          <w:sz w:val="24"/>
          <w:szCs w:val="24"/>
          <w:lang w:val="pl-PL"/>
        </w:rPr>
        <w:t xml:space="preserve">tylko </w:t>
      </w:r>
      <w:r w:rsidRPr="009E6899">
        <w:rPr>
          <w:rFonts w:ascii="Times New Roman" w:hAnsi="Times New Roman" w:cs="Times New Roman"/>
          <w:sz w:val="24"/>
          <w:szCs w:val="24"/>
          <w:lang w:val="pl-PL"/>
        </w:rPr>
        <w:t>w Słowacji (wyjątkowo niski poziom 1,8% PKB), Rumunii (3,6%</w:t>
      </w:r>
      <w:r w:rsidR="00CE70DD" w:rsidRPr="009E6899">
        <w:rPr>
          <w:rFonts w:ascii="Times New Roman" w:hAnsi="Times New Roman" w:cs="Times New Roman"/>
          <w:sz w:val="24"/>
          <w:szCs w:val="24"/>
          <w:lang w:val="pl-PL"/>
        </w:rPr>
        <w:t xml:space="preserve"> PKB </w:t>
      </w:r>
      <w:r w:rsidRPr="009E6899">
        <w:rPr>
          <w:rFonts w:ascii="Times New Roman" w:hAnsi="Times New Roman" w:cs="Times New Roman"/>
          <w:sz w:val="24"/>
          <w:szCs w:val="24"/>
          <w:lang w:val="pl-PL"/>
        </w:rPr>
        <w:t>) i Łotwie (4% PKB).  Natomiast wydatki na cele gospodarcze w relacji do PKB stanowiły w Polsce 4,5% (średnia w krajach ESW 5,4%, a niższy poziom odnotowano tylko na Litwie (4% PKB) oraz w Estonii (4,5% PKB)</w:t>
      </w:r>
      <w:r w:rsidR="008667A8" w:rsidRPr="009E6899">
        <w:rPr>
          <w:rFonts w:ascii="Times New Roman" w:hAnsi="Times New Roman" w:cs="Times New Roman"/>
          <w:sz w:val="24"/>
          <w:szCs w:val="24"/>
          <w:lang w:val="pl-PL"/>
        </w:rPr>
        <w:t>)</w:t>
      </w:r>
      <w:r w:rsidRPr="009E6899">
        <w:rPr>
          <w:rFonts w:ascii="Times New Roman" w:hAnsi="Times New Roman" w:cs="Times New Roman"/>
          <w:sz w:val="24"/>
          <w:szCs w:val="24"/>
          <w:lang w:val="pl-PL"/>
        </w:rPr>
        <w:t>. W obszarze pozostałych funkcji wydatki publiczne w Polsce kształtowały się na poziomie zbliżonym do średniej.</w:t>
      </w:r>
    </w:p>
    <w:p w:rsidR="001A717E" w:rsidRDefault="005B0CBD" w:rsidP="002C1118">
      <w:pPr>
        <w:spacing w:after="0" w:line="360" w:lineRule="auto"/>
        <w:ind w:firstLine="720"/>
        <w:jc w:val="both"/>
        <w:rPr>
          <w:rFonts w:ascii="Times New Roman" w:hAnsi="Times New Roman" w:cs="Times New Roman"/>
          <w:sz w:val="24"/>
          <w:szCs w:val="24"/>
          <w:lang w:val="pl-PL"/>
        </w:rPr>
      </w:pPr>
      <w:r>
        <w:rPr>
          <w:rFonts w:ascii="Times New Roman" w:hAnsi="Times New Roman" w:cs="Times New Roman"/>
          <w:sz w:val="24"/>
          <w:szCs w:val="24"/>
          <w:lang w:val="pl-PL"/>
        </w:rPr>
        <w:t>Zarów</w:t>
      </w:r>
      <w:r w:rsidR="00811C4E">
        <w:rPr>
          <w:rFonts w:ascii="Times New Roman" w:hAnsi="Times New Roman" w:cs="Times New Roman"/>
          <w:sz w:val="24"/>
          <w:szCs w:val="24"/>
          <w:lang w:val="pl-PL"/>
        </w:rPr>
        <w:t>no wysokość</w:t>
      </w:r>
      <w:r>
        <w:rPr>
          <w:rFonts w:ascii="Times New Roman" w:hAnsi="Times New Roman" w:cs="Times New Roman"/>
          <w:sz w:val="24"/>
          <w:szCs w:val="24"/>
          <w:lang w:val="pl-PL"/>
        </w:rPr>
        <w:t xml:space="preserve"> jak i struktura wydatków publicznych w krajach ESW jest zróżnicowana, co wskazuje na silne znaczenie czynników specyficznych dla poszczególnych krajów i utrudnia formułowanie wniosków o charakterze ogólnym.  W celu zwiększenia przejrzystości, a równocześnie podkreślenia roli poszczególnych grup wydatków we wspieraniu wzrostu gospodarczego</w:t>
      </w:r>
      <w:r w:rsidR="002317F6">
        <w:rPr>
          <w:rFonts w:ascii="Times New Roman" w:hAnsi="Times New Roman" w:cs="Times New Roman"/>
          <w:sz w:val="24"/>
          <w:szCs w:val="24"/>
          <w:lang w:val="pl-PL"/>
        </w:rPr>
        <w:t xml:space="preserve">, podobnie jak </w:t>
      </w:r>
      <w:proofErr w:type="spellStart"/>
      <w:r w:rsidR="002317F6">
        <w:rPr>
          <w:rFonts w:ascii="Times New Roman" w:hAnsi="Times New Roman" w:cs="Times New Roman"/>
          <w:sz w:val="24"/>
          <w:szCs w:val="24"/>
          <w:lang w:val="pl-PL"/>
        </w:rPr>
        <w:t>B.Nikos</w:t>
      </w:r>
      <w:proofErr w:type="spellEnd"/>
      <w:r w:rsidR="002317F6">
        <w:rPr>
          <w:rFonts w:ascii="Times New Roman" w:hAnsi="Times New Roman" w:cs="Times New Roman"/>
          <w:sz w:val="24"/>
          <w:szCs w:val="24"/>
          <w:lang w:val="pl-PL"/>
        </w:rPr>
        <w:t xml:space="preserve"> [2009]</w:t>
      </w:r>
      <w:r>
        <w:rPr>
          <w:rFonts w:ascii="Times New Roman" w:hAnsi="Times New Roman" w:cs="Times New Roman"/>
          <w:sz w:val="24"/>
          <w:szCs w:val="24"/>
          <w:lang w:val="pl-PL"/>
        </w:rPr>
        <w:t xml:space="preserve">, </w:t>
      </w:r>
      <w:r w:rsidR="005176BF">
        <w:rPr>
          <w:rFonts w:ascii="Times New Roman" w:hAnsi="Times New Roman" w:cs="Times New Roman"/>
          <w:sz w:val="24"/>
          <w:szCs w:val="24"/>
          <w:lang w:val="pl-PL"/>
        </w:rPr>
        <w:t>zredukowano liczbę kategorii z dziesięciu do pięciu</w:t>
      </w:r>
      <w:r>
        <w:rPr>
          <w:rFonts w:ascii="Times New Roman" w:hAnsi="Times New Roman" w:cs="Times New Roman"/>
          <w:sz w:val="24"/>
          <w:szCs w:val="24"/>
          <w:lang w:val="pl-PL"/>
        </w:rPr>
        <w:t>:</w:t>
      </w:r>
    </w:p>
    <w:p w:rsidR="005B0CBD" w:rsidRDefault="005B0CBD" w:rsidP="005B0CBD">
      <w:pPr>
        <w:spacing w:after="0" w:line="360" w:lineRule="auto"/>
        <w:ind w:firstLine="720"/>
        <w:rPr>
          <w:rFonts w:ascii="Times New Roman" w:hAnsi="Times New Roman" w:cs="Times New Roman"/>
          <w:sz w:val="24"/>
          <w:szCs w:val="24"/>
          <w:lang w:val="pl-PL"/>
        </w:rPr>
      </w:pPr>
      <w:r>
        <w:rPr>
          <w:rFonts w:ascii="Times New Roman" w:hAnsi="Times New Roman" w:cs="Times New Roman"/>
          <w:sz w:val="24"/>
          <w:szCs w:val="24"/>
          <w:lang w:val="pl-PL"/>
        </w:rPr>
        <w:t>- wydatki ogólne (grupa GF01)</w:t>
      </w:r>
      <w:r w:rsidR="005176BF">
        <w:rPr>
          <w:rFonts w:ascii="Times New Roman" w:hAnsi="Times New Roman" w:cs="Times New Roman"/>
          <w:sz w:val="24"/>
          <w:szCs w:val="24"/>
          <w:lang w:val="pl-PL"/>
        </w:rPr>
        <w:t>,</w:t>
      </w:r>
    </w:p>
    <w:p w:rsidR="005B0CBD" w:rsidRDefault="005B0CBD" w:rsidP="005B0CBD">
      <w:pPr>
        <w:spacing w:after="0" w:line="360" w:lineRule="auto"/>
        <w:ind w:firstLine="720"/>
        <w:rPr>
          <w:rFonts w:ascii="Times New Roman" w:hAnsi="Times New Roman" w:cs="Times New Roman"/>
          <w:sz w:val="24"/>
          <w:szCs w:val="24"/>
          <w:lang w:val="pl-PL"/>
        </w:rPr>
      </w:pPr>
      <w:r>
        <w:rPr>
          <w:rFonts w:ascii="Times New Roman" w:hAnsi="Times New Roman" w:cs="Times New Roman"/>
          <w:sz w:val="24"/>
          <w:szCs w:val="24"/>
          <w:lang w:val="pl-PL"/>
        </w:rPr>
        <w:lastRenderedPageBreak/>
        <w:t>- wydatki na gospodarkę (grupa GF04)</w:t>
      </w:r>
      <w:r w:rsidR="005176BF">
        <w:rPr>
          <w:rFonts w:ascii="Times New Roman" w:hAnsi="Times New Roman" w:cs="Times New Roman"/>
          <w:sz w:val="24"/>
          <w:szCs w:val="24"/>
          <w:lang w:val="pl-PL"/>
        </w:rPr>
        <w:t>,</w:t>
      </w:r>
    </w:p>
    <w:p w:rsidR="005B0CBD" w:rsidRDefault="005B0CBD" w:rsidP="005B0CBD">
      <w:pPr>
        <w:spacing w:after="0" w:line="360" w:lineRule="auto"/>
        <w:ind w:firstLine="720"/>
        <w:rPr>
          <w:rFonts w:ascii="Times New Roman" w:hAnsi="Times New Roman" w:cs="Times New Roman"/>
          <w:sz w:val="24"/>
          <w:szCs w:val="24"/>
          <w:lang w:val="pl-PL"/>
        </w:rPr>
      </w:pPr>
      <w:r>
        <w:rPr>
          <w:rFonts w:ascii="Times New Roman" w:hAnsi="Times New Roman" w:cs="Times New Roman"/>
          <w:sz w:val="24"/>
          <w:szCs w:val="24"/>
          <w:lang w:val="pl-PL"/>
        </w:rPr>
        <w:t>- wydatki na bezpieczeństwo (grupy GF02 i GF03)</w:t>
      </w:r>
      <w:r w:rsidR="005176BF">
        <w:rPr>
          <w:rFonts w:ascii="Times New Roman" w:hAnsi="Times New Roman" w:cs="Times New Roman"/>
          <w:sz w:val="24"/>
          <w:szCs w:val="24"/>
          <w:lang w:val="pl-PL"/>
        </w:rPr>
        <w:t>,</w:t>
      </w:r>
    </w:p>
    <w:p w:rsidR="005B0CBD" w:rsidRDefault="005B0CBD" w:rsidP="005B0CBD">
      <w:pPr>
        <w:spacing w:after="0" w:line="360" w:lineRule="auto"/>
        <w:ind w:firstLine="720"/>
        <w:rPr>
          <w:rFonts w:ascii="Times New Roman" w:hAnsi="Times New Roman" w:cs="Times New Roman"/>
          <w:sz w:val="24"/>
          <w:szCs w:val="24"/>
          <w:lang w:val="pl-PL"/>
        </w:rPr>
      </w:pPr>
      <w:r>
        <w:rPr>
          <w:rFonts w:ascii="Times New Roman" w:hAnsi="Times New Roman" w:cs="Times New Roman"/>
          <w:sz w:val="24"/>
          <w:szCs w:val="24"/>
          <w:lang w:val="pl-PL"/>
        </w:rPr>
        <w:t>- wydatki na kapitał ludzki (grupy GF05-GF09)</w:t>
      </w:r>
      <w:r w:rsidR="005176BF">
        <w:rPr>
          <w:rFonts w:ascii="Times New Roman" w:hAnsi="Times New Roman" w:cs="Times New Roman"/>
          <w:sz w:val="24"/>
          <w:szCs w:val="24"/>
          <w:lang w:val="pl-PL"/>
        </w:rPr>
        <w:t>,</w:t>
      </w:r>
    </w:p>
    <w:p w:rsidR="005B0CBD" w:rsidRDefault="005B0CBD" w:rsidP="005B0CBD">
      <w:pPr>
        <w:spacing w:after="0" w:line="360" w:lineRule="auto"/>
        <w:ind w:firstLine="720"/>
        <w:rPr>
          <w:rFonts w:ascii="Times New Roman" w:hAnsi="Times New Roman" w:cs="Times New Roman"/>
          <w:sz w:val="24"/>
          <w:szCs w:val="24"/>
          <w:lang w:val="pl-PL"/>
        </w:rPr>
      </w:pPr>
      <w:r>
        <w:rPr>
          <w:rFonts w:ascii="Times New Roman" w:hAnsi="Times New Roman" w:cs="Times New Roman"/>
          <w:sz w:val="24"/>
          <w:szCs w:val="24"/>
          <w:lang w:val="pl-PL"/>
        </w:rPr>
        <w:t>- wydatki na ochronę socjalną (grupa GF10)</w:t>
      </w:r>
      <w:r w:rsidR="005176BF">
        <w:rPr>
          <w:rFonts w:ascii="Times New Roman" w:hAnsi="Times New Roman" w:cs="Times New Roman"/>
          <w:sz w:val="24"/>
          <w:szCs w:val="24"/>
          <w:lang w:val="pl-PL"/>
        </w:rPr>
        <w:t>.</w:t>
      </w:r>
    </w:p>
    <w:p w:rsidR="001A717E" w:rsidRDefault="005176BF" w:rsidP="009F71E7">
      <w:pPr>
        <w:spacing w:after="0"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Dwie spośród nich mają charakter złożony. Są to wydatki na szeroko pojęte bezpieczeństwo, stanowiące kompilację wydatków na obron</w:t>
      </w:r>
      <w:r w:rsidR="00811C4E">
        <w:rPr>
          <w:rFonts w:ascii="Times New Roman" w:hAnsi="Times New Roman" w:cs="Times New Roman"/>
          <w:sz w:val="24"/>
          <w:szCs w:val="24"/>
          <w:lang w:val="pl-PL"/>
        </w:rPr>
        <w:t>ę narodową</w:t>
      </w:r>
      <w:r>
        <w:rPr>
          <w:rFonts w:ascii="Times New Roman" w:hAnsi="Times New Roman" w:cs="Times New Roman"/>
          <w:sz w:val="24"/>
          <w:szCs w:val="24"/>
          <w:lang w:val="pl-PL"/>
        </w:rPr>
        <w:t xml:space="preserve"> oraz wydatków na porządek publiczny i bezpieczeństwo, a także szeroko pojęta kategoria wydatków na kapitał ludzki, które obok tradycyjnie zaliczanych tu grup wydatków na edukację i ochronę zdrowie, obejmuje także wydatki na ochronę środowiska, </w:t>
      </w:r>
      <w:r w:rsidR="00811C4E">
        <w:rPr>
          <w:rFonts w:ascii="Times New Roman" w:hAnsi="Times New Roman" w:cs="Times New Roman"/>
          <w:sz w:val="24"/>
          <w:szCs w:val="24"/>
          <w:lang w:val="pl-PL"/>
        </w:rPr>
        <w:t>gospodarkę mieszkaniową i komunalną</w:t>
      </w:r>
      <w:r>
        <w:rPr>
          <w:rFonts w:ascii="Times New Roman" w:hAnsi="Times New Roman" w:cs="Times New Roman"/>
          <w:sz w:val="24"/>
          <w:szCs w:val="24"/>
          <w:lang w:val="pl-PL"/>
        </w:rPr>
        <w:t xml:space="preserve"> oraz turystykę, kulturę i religię. Przestrzenn</w:t>
      </w:r>
      <w:r w:rsidR="00421061">
        <w:rPr>
          <w:rFonts w:ascii="Times New Roman" w:hAnsi="Times New Roman" w:cs="Times New Roman"/>
          <w:sz w:val="24"/>
          <w:szCs w:val="24"/>
          <w:lang w:val="pl-PL"/>
        </w:rPr>
        <w:t>e</w:t>
      </w:r>
      <w:r>
        <w:rPr>
          <w:rFonts w:ascii="Times New Roman" w:hAnsi="Times New Roman" w:cs="Times New Roman"/>
          <w:sz w:val="24"/>
          <w:szCs w:val="24"/>
          <w:lang w:val="pl-PL"/>
        </w:rPr>
        <w:t xml:space="preserve"> </w:t>
      </w:r>
      <w:r w:rsidR="009F71E7">
        <w:rPr>
          <w:rFonts w:ascii="Times New Roman" w:hAnsi="Times New Roman" w:cs="Times New Roman"/>
          <w:sz w:val="24"/>
          <w:szCs w:val="24"/>
          <w:lang w:val="pl-PL"/>
        </w:rPr>
        <w:t>porównanie</w:t>
      </w:r>
      <w:r>
        <w:rPr>
          <w:rFonts w:ascii="Times New Roman" w:hAnsi="Times New Roman" w:cs="Times New Roman"/>
          <w:sz w:val="24"/>
          <w:szCs w:val="24"/>
          <w:lang w:val="pl-PL"/>
        </w:rPr>
        <w:t xml:space="preserve"> krajów ESW w oparciu o wyróżnione podkategorie został</w:t>
      </w:r>
      <w:r w:rsidR="009F71E7">
        <w:rPr>
          <w:rFonts w:ascii="Times New Roman" w:hAnsi="Times New Roman" w:cs="Times New Roman"/>
          <w:sz w:val="24"/>
          <w:szCs w:val="24"/>
          <w:lang w:val="pl-PL"/>
        </w:rPr>
        <w:t>o</w:t>
      </w:r>
      <w:r>
        <w:rPr>
          <w:rFonts w:ascii="Times New Roman" w:hAnsi="Times New Roman" w:cs="Times New Roman"/>
          <w:sz w:val="24"/>
          <w:szCs w:val="24"/>
          <w:lang w:val="pl-PL"/>
        </w:rPr>
        <w:t xml:space="preserve"> zilustrowan</w:t>
      </w:r>
      <w:r w:rsidR="00421061">
        <w:rPr>
          <w:rFonts w:ascii="Times New Roman" w:hAnsi="Times New Roman" w:cs="Times New Roman"/>
          <w:sz w:val="24"/>
          <w:szCs w:val="24"/>
          <w:lang w:val="pl-PL"/>
        </w:rPr>
        <w:t>e</w:t>
      </w:r>
      <w:r>
        <w:rPr>
          <w:rFonts w:ascii="Times New Roman" w:hAnsi="Times New Roman" w:cs="Times New Roman"/>
          <w:sz w:val="24"/>
          <w:szCs w:val="24"/>
          <w:lang w:val="pl-PL"/>
        </w:rPr>
        <w:t xml:space="preserve"> na rys</w:t>
      </w:r>
      <w:r w:rsidR="00421061">
        <w:rPr>
          <w:rFonts w:ascii="Times New Roman" w:hAnsi="Times New Roman" w:cs="Times New Roman"/>
          <w:sz w:val="24"/>
          <w:szCs w:val="24"/>
          <w:lang w:val="pl-PL"/>
        </w:rPr>
        <w:t>.</w:t>
      </w:r>
      <w:r>
        <w:rPr>
          <w:rFonts w:ascii="Times New Roman" w:hAnsi="Times New Roman" w:cs="Times New Roman"/>
          <w:sz w:val="24"/>
          <w:szCs w:val="24"/>
          <w:lang w:val="pl-PL"/>
        </w:rPr>
        <w:t xml:space="preserve"> </w:t>
      </w:r>
      <w:r w:rsidR="00426979">
        <w:rPr>
          <w:rFonts w:ascii="Times New Roman" w:hAnsi="Times New Roman" w:cs="Times New Roman"/>
          <w:sz w:val="24"/>
          <w:szCs w:val="24"/>
          <w:lang w:val="pl-PL"/>
        </w:rPr>
        <w:t>2</w:t>
      </w:r>
      <w:r>
        <w:rPr>
          <w:rFonts w:ascii="Times New Roman" w:hAnsi="Times New Roman" w:cs="Times New Roman"/>
          <w:sz w:val="24"/>
          <w:szCs w:val="24"/>
          <w:lang w:val="pl-PL"/>
        </w:rPr>
        <w:t>.</w:t>
      </w:r>
    </w:p>
    <w:p w:rsidR="009F71E7" w:rsidRPr="009F71E7" w:rsidRDefault="009F71E7" w:rsidP="00421061">
      <w:pPr>
        <w:spacing w:before="240" w:after="0" w:line="360" w:lineRule="auto"/>
        <w:rPr>
          <w:rFonts w:ascii="Times New Roman" w:hAnsi="Times New Roman" w:cs="Times New Roman"/>
          <w:sz w:val="20"/>
          <w:szCs w:val="24"/>
          <w:lang w:val="pl-PL"/>
        </w:rPr>
      </w:pPr>
      <w:r w:rsidRPr="009F71E7">
        <w:rPr>
          <w:rFonts w:ascii="Times New Roman" w:hAnsi="Times New Roman" w:cs="Times New Roman"/>
          <w:sz w:val="20"/>
          <w:szCs w:val="24"/>
          <w:lang w:val="pl-PL"/>
        </w:rPr>
        <w:t xml:space="preserve">Rys. </w:t>
      </w:r>
      <w:r w:rsidR="00426979">
        <w:rPr>
          <w:rFonts w:ascii="Times New Roman" w:hAnsi="Times New Roman" w:cs="Times New Roman"/>
          <w:sz w:val="20"/>
          <w:szCs w:val="24"/>
          <w:lang w:val="pl-PL"/>
        </w:rPr>
        <w:t>2.</w:t>
      </w:r>
      <w:r w:rsidRPr="009F71E7">
        <w:rPr>
          <w:rFonts w:ascii="Times New Roman" w:hAnsi="Times New Roman" w:cs="Times New Roman"/>
          <w:sz w:val="20"/>
          <w:szCs w:val="24"/>
          <w:lang w:val="pl-PL"/>
        </w:rPr>
        <w:t xml:space="preserve"> Struktura wydatków publicznych w krajach ESW w latach 2002-2014: analiza porównawcza</w:t>
      </w:r>
    </w:p>
    <w:tbl>
      <w:tblPr>
        <w:tblStyle w:val="Tabela-Siatka"/>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4678"/>
      </w:tblGrid>
      <w:tr w:rsidR="005176BF" w:rsidRPr="00426979" w:rsidTr="00DF6A33">
        <w:tc>
          <w:tcPr>
            <w:tcW w:w="4077" w:type="dxa"/>
          </w:tcPr>
          <w:p w:rsidR="005176BF" w:rsidRPr="009F71E7" w:rsidRDefault="009F71E7" w:rsidP="009F71E7">
            <w:pPr>
              <w:pStyle w:val="Akapitzlist"/>
              <w:numPr>
                <w:ilvl w:val="0"/>
                <w:numId w:val="4"/>
              </w:numPr>
              <w:spacing w:line="360" w:lineRule="auto"/>
              <w:rPr>
                <w:rFonts w:ascii="Times New Roman" w:hAnsi="Times New Roman" w:cs="Times New Roman"/>
                <w:sz w:val="20"/>
                <w:szCs w:val="24"/>
                <w:lang w:val="pl-PL"/>
              </w:rPr>
            </w:pPr>
            <w:r w:rsidRPr="009F71E7">
              <w:rPr>
                <w:rFonts w:ascii="Times New Roman" w:hAnsi="Times New Roman" w:cs="Times New Roman"/>
                <w:sz w:val="20"/>
                <w:szCs w:val="24"/>
                <w:lang w:val="pl-PL"/>
              </w:rPr>
              <w:t>jako % wydatków publicznych ogółem</w:t>
            </w:r>
          </w:p>
        </w:tc>
        <w:tc>
          <w:tcPr>
            <w:tcW w:w="4678" w:type="dxa"/>
          </w:tcPr>
          <w:p w:rsidR="005176BF" w:rsidRPr="009F71E7" w:rsidRDefault="009F71E7" w:rsidP="009F71E7">
            <w:pPr>
              <w:pStyle w:val="Akapitzlist"/>
              <w:numPr>
                <w:ilvl w:val="0"/>
                <w:numId w:val="4"/>
              </w:numPr>
              <w:spacing w:line="360" w:lineRule="auto"/>
              <w:rPr>
                <w:rFonts w:ascii="Times New Roman" w:hAnsi="Times New Roman" w:cs="Times New Roman"/>
                <w:sz w:val="20"/>
                <w:szCs w:val="24"/>
                <w:lang w:val="pl-PL"/>
              </w:rPr>
            </w:pPr>
            <w:r>
              <w:rPr>
                <w:rFonts w:ascii="Times New Roman" w:hAnsi="Times New Roman" w:cs="Times New Roman"/>
                <w:sz w:val="20"/>
                <w:szCs w:val="24"/>
                <w:lang w:val="pl-PL"/>
              </w:rPr>
              <w:t>jako % PKB</w:t>
            </w:r>
          </w:p>
        </w:tc>
      </w:tr>
      <w:tr w:rsidR="005176BF" w:rsidRPr="00426979" w:rsidTr="00DF6A33">
        <w:tc>
          <w:tcPr>
            <w:tcW w:w="4077" w:type="dxa"/>
          </w:tcPr>
          <w:p w:rsidR="005176BF" w:rsidRDefault="005176BF" w:rsidP="005176BF">
            <w:pPr>
              <w:spacing w:line="360" w:lineRule="auto"/>
              <w:rPr>
                <w:rFonts w:ascii="Times New Roman" w:hAnsi="Times New Roman" w:cs="Times New Roman"/>
                <w:sz w:val="24"/>
                <w:szCs w:val="24"/>
                <w:lang w:val="pl-PL"/>
              </w:rPr>
            </w:pPr>
            <w:r>
              <w:rPr>
                <w:rFonts w:ascii="Times New Roman" w:hAnsi="Times New Roman" w:cs="Times New Roman"/>
                <w:noProof/>
                <w:sz w:val="24"/>
                <w:szCs w:val="24"/>
              </w:rPr>
              <w:drawing>
                <wp:inline distT="0" distB="0" distL="0" distR="0" wp14:anchorId="09534421" wp14:editId="5A696DEB">
                  <wp:extent cx="2781300" cy="2219511"/>
                  <wp:effectExtent l="0" t="0" r="0" b="952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2650" cy="2220588"/>
                          </a:xfrm>
                          <a:prstGeom prst="rect">
                            <a:avLst/>
                          </a:prstGeom>
                          <a:noFill/>
                        </pic:spPr>
                      </pic:pic>
                    </a:graphicData>
                  </a:graphic>
                </wp:inline>
              </w:drawing>
            </w:r>
          </w:p>
        </w:tc>
        <w:tc>
          <w:tcPr>
            <w:tcW w:w="4678" w:type="dxa"/>
          </w:tcPr>
          <w:p w:rsidR="005176BF" w:rsidRDefault="002317F6" w:rsidP="005176BF">
            <w:pPr>
              <w:spacing w:line="360" w:lineRule="auto"/>
              <w:rPr>
                <w:rFonts w:ascii="Times New Roman" w:hAnsi="Times New Roman" w:cs="Times New Roman"/>
                <w:sz w:val="24"/>
                <w:szCs w:val="24"/>
                <w:lang w:val="pl-PL"/>
              </w:rPr>
            </w:pPr>
            <w:r>
              <w:rPr>
                <w:rFonts w:ascii="Times New Roman" w:hAnsi="Times New Roman" w:cs="Times New Roman"/>
                <w:noProof/>
                <w:sz w:val="24"/>
                <w:szCs w:val="24"/>
              </w:rPr>
              <w:drawing>
                <wp:inline distT="0" distB="0" distL="0" distR="0" wp14:anchorId="19AAB899" wp14:editId="45789275">
                  <wp:extent cx="2806064" cy="2219325"/>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7862" cy="2220747"/>
                          </a:xfrm>
                          <a:prstGeom prst="rect">
                            <a:avLst/>
                          </a:prstGeom>
                          <a:noFill/>
                        </pic:spPr>
                      </pic:pic>
                    </a:graphicData>
                  </a:graphic>
                </wp:inline>
              </w:drawing>
            </w:r>
          </w:p>
        </w:tc>
      </w:tr>
    </w:tbl>
    <w:p w:rsidR="009F71E7" w:rsidRDefault="009F71E7" w:rsidP="009F71E7">
      <w:pPr>
        <w:rPr>
          <w:rFonts w:ascii="Times New Roman" w:hAnsi="Times New Roman" w:cs="Times New Roman"/>
          <w:sz w:val="20"/>
          <w:szCs w:val="20"/>
          <w:lang w:val="pl-PL"/>
        </w:rPr>
      </w:pPr>
      <w:r w:rsidRPr="00F276A5">
        <w:rPr>
          <w:rFonts w:ascii="Times New Roman" w:hAnsi="Times New Roman" w:cs="Times New Roman"/>
          <w:i/>
          <w:sz w:val="20"/>
          <w:szCs w:val="20"/>
          <w:lang w:val="pl-PL"/>
        </w:rPr>
        <w:t>Źródło</w:t>
      </w:r>
      <w:r>
        <w:rPr>
          <w:rFonts w:ascii="Times New Roman" w:hAnsi="Times New Roman" w:cs="Times New Roman"/>
          <w:sz w:val="20"/>
          <w:szCs w:val="20"/>
          <w:lang w:val="pl-PL"/>
        </w:rPr>
        <w:t xml:space="preserve">: Obliczenia własne na podstawie danych z EUROSTATU.  </w:t>
      </w:r>
    </w:p>
    <w:p w:rsidR="005176BF" w:rsidRDefault="009F71E7" w:rsidP="00811C4E">
      <w:pPr>
        <w:spacing w:after="0" w:line="360" w:lineRule="auto"/>
        <w:ind w:firstLine="72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Spośród pięciu wyróżnionych kategorii, dominującą część wydatków stanowią dwie, a mianowicie wydatki na cele socjalne i wydatki w szeroko pojęty kapitał ludzki. </w:t>
      </w:r>
      <w:r w:rsidR="004325D3">
        <w:rPr>
          <w:rFonts w:ascii="Times New Roman" w:hAnsi="Times New Roman" w:cs="Times New Roman"/>
          <w:sz w:val="24"/>
          <w:szCs w:val="24"/>
          <w:lang w:val="pl-PL"/>
        </w:rPr>
        <w:t xml:space="preserve">Ponieważ </w:t>
      </w:r>
      <w:r w:rsidR="0087236A">
        <w:rPr>
          <w:rFonts w:ascii="Times New Roman" w:hAnsi="Times New Roman" w:cs="Times New Roman"/>
          <w:sz w:val="24"/>
          <w:szCs w:val="24"/>
          <w:lang w:val="pl-PL"/>
        </w:rPr>
        <w:t xml:space="preserve"> </w:t>
      </w:r>
      <w:r w:rsidR="004325D3">
        <w:rPr>
          <w:rFonts w:ascii="Times New Roman" w:hAnsi="Times New Roman" w:cs="Times New Roman"/>
          <w:sz w:val="24"/>
          <w:szCs w:val="24"/>
          <w:lang w:val="pl-PL"/>
        </w:rPr>
        <w:t xml:space="preserve">wydatki  na ochronę socjalną w niewielkim stopniu mają charakter </w:t>
      </w:r>
      <w:proofErr w:type="spellStart"/>
      <w:r w:rsidR="004325D3">
        <w:rPr>
          <w:rFonts w:ascii="Times New Roman" w:hAnsi="Times New Roman" w:cs="Times New Roman"/>
          <w:sz w:val="24"/>
          <w:szCs w:val="24"/>
          <w:lang w:val="pl-PL"/>
        </w:rPr>
        <w:t>pro</w:t>
      </w:r>
      <w:r w:rsidR="00CE3C2C">
        <w:rPr>
          <w:rFonts w:ascii="Times New Roman" w:hAnsi="Times New Roman" w:cs="Times New Roman"/>
          <w:sz w:val="24"/>
          <w:szCs w:val="24"/>
          <w:lang w:val="pl-PL"/>
        </w:rPr>
        <w:t>wzrost</w:t>
      </w:r>
      <w:r w:rsidR="004325D3">
        <w:rPr>
          <w:rFonts w:ascii="Times New Roman" w:hAnsi="Times New Roman" w:cs="Times New Roman"/>
          <w:sz w:val="24"/>
          <w:szCs w:val="24"/>
          <w:lang w:val="pl-PL"/>
        </w:rPr>
        <w:t>owy</w:t>
      </w:r>
      <w:proofErr w:type="spellEnd"/>
      <w:r w:rsidR="004325D3">
        <w:rPr>
          <w:rFonts w:ascii="Times New Roman" w:hAnsi="Times New Roman" w:cs="Times New Roman"/>
          <w:sz w:val="24"/>
          <w:szCs w:val="24"/>
          <w:lang w:val="pl-PL"/>
        </w:rPr>
        <w:t>, w przeciwieństwie do inwestycji w kapitał ludzki, dlatego w zależno</w:t>
      </w:r>
      <w:r w:rsidR="005527B3">
        <w:rPr>
          <w:rFonts w:ascii="Times New Roman" w:hAnsi="Times New Roman" w:cs="Times New Roman"/>
          <w:sz w:val="24"/>
          <w:szCs w:val="24"/>
          <w:lang w:val="pl-PL"/>
        </w:rPr>
        <w:t>ści od relacji pomiędzy tymi dwo</w:t>
      </w:r>
      <w:r w:rsidR="004325D3">
        <w:rPr>
          <w:rFonts w:ascii="Times New Roman" w:hAnsi="Times New Roman" w:cs="Times New Roman"/>
          <w:sz w:val="24"/>
          <w:szCs w:val="24"/>
          <w:lang w:val="pl-PL"/>
        </w:rPr>
        <w:t>ma grupami moż</w:t>
      </w:r>
      <w:r w:rsidR="005527B3">
        <w:rPr>
          <w:rFonts w:ascii="Times New Roman" w:hAnsi="Times New Roman" w:cs="Times New Roman"/>
          <w:sz w:val="24"/>
          <w:szCs w:val="24"/>
          <w:lang w:val="pl-PL"/>
        </w:rPr>
        <w:t>na</w:t>
      </w:r>
      <w:r w:rsidR="004325D3">
        <w:rPr>
          <w:rFonts w:ascii="Times New Roman" w:hAnsi="Times New Roman" w:cs="Times New Roman"/>
          <w:sz w:val="24"/>
          <w:szCs w:val="24"/>
          <w:lang w:val="pl-PL"/>
        </w:rPr>
        <w:t xml:space="preserve"> dokonać </w:t>
      </w:r>
      <w:r w:rsidR="00943088">
        <w:rPr>
          <w:rFonts w:ascii="Times New Roman" w:hAnsi="Times New Roman" w:cs="Times New Roman"/>
          <w:sz w:val="24"/>
          <w:szCs w:val="24"/>
          <w:lang w:val="pl-PL"/>
        </w:rPr>
        <w:t>rankingu</w:t>
      </w:r>
      <w:r w:rsidR="004325D3">
        <w:rPr>
          <w:rFonts w:ascii="Times New Roman" w:hAnsi="Times New Roman" w:cs="Times New Roman"/>
          <w:sz w:val="24"/>
          <w:szCs w:val="24"/>
          <w:lang w:val="pl-PL"/>
        </w:rPr>
        <w:t xml:space="preserve"> </w:t>
      </w:r>
      <w:r w:rsidR="00943088">
        <w:rPr>
          <w:rFonts w:ascii="Times New Roman" w:hAnsi="Times New Roman" w:cs="Times New Roman"/>
          <w:sz w:val="24"/>
          <w:szCs w:val="24"/>
          <w:lang w:val="pl-PL"/>
        </w:rPr>
        <w:t>analizowanych</w:t>
      </w:r>
      <w:r w:rsidR="00421061">
        <w:rPr>
          <w:rFonts w:ascii="Times New Roman" w:hAnsi="Times New Roman" w:cs="Times New Roman"/>
          <w:sz w:val="24"/>
          <w:szCs w:val="24"/>
          <w:lang w:val="pl-PL"/>
        </w:rPr>
        <w:t xml:space="preserve"> </w:t>
      </w:r>
      <w:r w:rsidR="004325D3">
        <w:rPr>
          <w:rFonts w:ascii="Times New Roman" w:hAnsi="Times New Roman" w:cs="Times New Roman"/>
          <w:sz w:val="24"/>
          <w:szCs w:val="24"/>
          <w:lang w:val="pl-PL"/>
        </w:rPr>
        <w:t>krajów ESW</w:t>
      </w:r>
      <w:r w:rsidR="00421061">
        <w:rPr>
          <w:rFonts w:ascii="Times New Roman" w:hAnsi="Times New Roman" w:cs="Times New Roman"/>
          <w:sz w:val="24"/>
          <w:szCs w:val="24"/>
          <w:lang w:val="pl-PL"/>
        </w:rPr>
        <w:t xml:space="preserve">11 </w:t>
      </w:r>
      <w:r w:rsidR="00943088">
        <w:rPr>
          <w:rFonts w:ascii="Times New Roman" w:hAnsi="Times New Roman" w:cs="Times New Roman"/>
          <w:sz w:val="24"/>
          <w:szCs w:val="24"/>
          <w:lang w:val="pl-PL"/>
        </w:rPr>
        <w:t xml:space="preserve">ze względu na </w:t>
      </w:r>
      <w:r w:rsidR="00CE3C2C">
        <w:rPr>
          <w:rFonts w:ascii="Times New Roman" w:hAnsi="Times New Roman" w:cs="Times New Roman"/>
          <w:sz w:val="24"/>
          <w:szCs w:val="24"/>
          <w:lang w:val="pl-PL"/>
        </w:rPr>
        <w:t>stopień ukierunkowania na wzrost gospodarczy</w:t>
      </w:r>
      <w:r w:rsidR="00943088">
        <w:rPr>
          <w:rFonts w:ascii="Times New Roman" w:hAnsi="Times New Roman" w:cs="Times New Roman"/>
          <w:sz w:val="24"/>
          <w:szCs w:val="24"/>
          <w:lang w:val="pl-PL"/>
        </w:rPr>
        <w:t xml:space="preserve"> struktury wydatków publicznych (w nawiązaniu do wydatków na kapitał ludzki). </w:t>
      </w:r>
      <w:r w:rsidR="00A94F7A">
        <w:rPr>
          <w:rFonts w:ascii="Times New Roman" w:hAnsi="Times New Roman" w:cs="Times New Roman"/>
          <w:sz w:val="24"/>
          <w:szCs w:val="24"/>
          <w:lang w:val="pl-PL"/>
        </w:rPr>
        <w:t xml:space="preserve">Ranking ten został przedstawiony na rys </w:t>
      </w:r>
      <w:r w:rsidR="00CE3C2C">
        <w:rPr>
          <w:rFonts w:ascii="Times New Roman" w:hAnsi="Times New Roman" w:cs="Times New Roman"/>
          <w:sz w:val="24"/>
          <w:szCs w:val="24"/>
          <w:lang w:val="pl-PL"/>
        </w:rPr>
        <w:t>3</w:t>
      </w:r>
      <w:r w:rsidR="00A94F7A">
        <w:rPr>
          <w:rFonts w:ascii="Times New Roman" w:hAnsi="Times New Roman" w:cs="Times New Roman"/>
          <w:sz w:val="24"/>
          <w:szCs w:val="24"/>
          <w:lang w:val="pl-PL"/>
        </w:rPr>
        <w:t>.a.</w:t>
      </w:r>
    </w:p>
    <w:p w:rsidR="00A94F7A" w:rsidRPr="00A94F7A" w:rsidRDefault="002317F6" w:rsidP="00A94F7A">
      <w:pPr>
        <w:spacing w:after="0" w:line="360" w:lineRule="auto"/>
        <w:rPr>
          <w:rFonts w:ascii="Times New Roman" w:hAnsi="Times New Roman" w:cs="Times New Roman"/>
          <w:sz w:val="20"/>
          <w:szCs w:val="24"/>
          <w:lang w:val="pl-PL"/>
        </w:rPr>
      </w:pPr>
      <w:r>
        <w:rPr>
          <w:rFonts w:ascii="Times New Roman" w:hAnsi="Times New Roman" w:cs="Times New Roman"/>
          <w:sz w:val="20"/>
          <w:szCs w:val="24"/>
          <w:lang w:val="pl-PL"/>
        </w:rPr>
        <w:lastRenderedPageBreak/>
        <w:t xml:space="preserve">Rysunek </w:t>
      </w:r>
      <w:r w:rsidR="00CE3C2C">
        <w:rPr>
          <w:rFonts w:ascii="Times New Roman" w:hAnsi="Times New Roman" w:cs="Times New Roman"/>
          <w:sz w:val="20"/>
          <w:szCs w:val="24"/>
          <w:lang w:val="pl-PL"/>
        </w:rPr>
        <w:t>3</w:t>
      </w:r>
      <w:r w:rsidR="00A94F7A" w:rsidRPr="00A94F7A">
        <w:rPr>
          <w:rFonts w:ascii="Times New Roman" w:hAnsi="Times New Roman" w:cs="Times New Roman"/>
          <w:sz w:val="20"/>
          <w:szCs w:val="24"/>
          <w:lang w:val="pl-PL"/>
        </w:rPr>
        <w:t>.</w:t>
      </w:r>
      <w:r>
        <w:rPr>
          <w:rFonts w:ascii="Times New Roman" w:hAnsi="Times New Roman" w:cs="Times New Roman"/>
          <w:sz w:val="20"/>
          <w:szCs w:val="24"/>
          <w:lang w:val="pl-PL"/>
        </w:rPr>
        <w:t xml:space="preserve"> </w:t>
      </w:r>
      <w:r w:rsidR="00A94F7A" w:rsidRPr="00A94F7A">
        <w:rPr>
          <w:rFonts w:ascii="Times New Roman" w:hAnsi="Times New Roman" w:cs="Times New Roman"/>
          <w:sz w:val="20"/>
          <w:szCs w:val="24"/>
          <w:lang w:val="pl-PL"/>
        </w:rPr>
        <w:t>Ranking krajów ESW ze względu na prorozwojowość struktury wydatków publicznych</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7"/>
        <w:gridCol w:w="4496"/>
      </w:tblGrid>
      <w:tr w:rsidR="005527B3" w:rsidRPr="007B488D" w:rsidTr="00605F3A">
        <w:tc>
          <w:tcPr>
            <w:tcW w:w="4821" w:type="dxa"/>
          </w:tcPr>
          <w:p w:rsidR="005527B3" w:rsidRDefault="00A94F7A" w:rsidP="00A94F7A">
            <w:pPr>
              <w:spacing w:line="276" w:lineRule="auto"/>
              <w:ind w:left="284" w:hanging="284"/>
              <w:rPr>
                <w:rFonts w:ascii="Times New Roman" w:hAnsi="Times New Roman" w:cs="Times New Roman"/>
                <w:sz w:val="24"/>
                <w:szCs w:val="24"/>
                <w:lang w:val="pl-PL"/>
              </w:rPr>
            </w:pPr>
            <w:r w:rsidRPr="00A94F7A">
              <w:rPr>
                <w:rFonts w:ascii="Times New Roman" w:hAnsi="Times New Roman" w:cs="Times New Roman"/>
                <w:sz w:val="20"/>
                <w:szCs w:val="24"/>
                <w:lang w:val="pl-PL"/>
              </w:rPr>
              <w:t xml:space="preserve">a) </w:t>
            </w:r>
            <w:r>
              <w:rPr>
                <w:rFonts w:ascii="Times New Roman" w:hAnsi="Times New Roman" w:cs="Times New Roman"/>
                <w:sz w:val="20"/>
                <w:szCs w:val="24"/>
                <w:lang w:val="pl-PL"/>
              </w:rPr>
              <w:t>kryterium: relacja wydatków na kapitał ludzki do wydatków na ochronę socjalną</w:t>
            </w:r>
          </w:p>
        </w:tc>
        <w:tc>
          <w:tcPr>
            <w:tcW w:w="4801" w:type="dxa"/>
          </w:tcPr>
          <w:p w:rsidR="005527B3" w:rsidRDefault="00A94F7A" w:rsidP="00A94F7A">
            <w:pPr>
              <w:spacing w:line="276" w:lineRule="auto"/>
              <w:rPr>
                <w:rFonts w:ascii="Times New Roman" w:hAnsi="Times New Roman" w:cs="Times New Roman"/>
                <w:sz w:val="24"/>
                <w:szCs w:val="24"/>
                <w:lang w:val="pl-PL"/>
              </w:rPr>
            </w:pPr>
            <w:r w:rsidRPr="00A94F7A">
              <w:rPr>
                <w:rFonts w:ascii="Times New Roman" w:hAnsi="Times New Roman" w:cs="Times New Roman"/>
                <w:sz w:val="20"/>
                <w:szCs w:val="24"/>
                <w:lang w:val="pl-PL"/>
              </w:rPr>
              <w:t xml:space="preserve">b) </w:t>
            </w:r>
            <w:r>
              <w:rPr>
                <w:rFonts w:ascii="Times New Roman" w:hAnsi="Times New Roman" w:cs="Times New Roman"/>
                <w:sz w:val="20"/>
                <w:szCs w:val="24"/>
                <w:lang w:val="pl-PL"/>
              </w:rPr>
              <w:t>kryterium: udział wydatków na kapitał ludzki i wydatków na gospodarkę w wydatkach ogółem</w:t>
            </w:r>
          </w:p>
        </w:tc>
      </w:tr>
      <w:tr w:rsidR="005527B3" w:rsidTr="00605F3A">
        <w:tc>
          <w:tcPr>
            <w:tcW w:w="4821" w:type="dxa"/>
          </w:tcPr>
          <w:p w:rsidR="005527B3" w:rsidRDefault="00CE3C2C" w:rsidP="005527B3">
            <w:pPr>
              <w:spacing w:line="360" w:lineRule="auto"/>
              <w:rPr>
                <w:rFonts w:ascii="Times New Roman" w:hAnsi="Times New Roman" w:cs="Times New Roman"/>
                <w:sz w:val="24"/>
                <w:szCs w:val="24"/>
                <w:lang w:val="pl-PL"/>
              </w:rPr>
            </w:pPr>
            <w:r>
              <w:rPr>
                <w:rFonts w:ascii="Times New Roman" w:hAnsi="Times New Roman" w:cs="Times New Roman"/>
                <w:noProof/>
                <w:sz w:val="24"/>
                <w:szCs w:val="24"/>
              </w:rPr>
              <w:drawing>
                <wp:inline distT="0" distB="0" distL="0" distR="0" wp14:anchorId="63F6B1B0" wp14:editId="0A0B97F0">
                  <wp:extent cx="2864094" cy="2152650"/>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2024" cy="2158610"/>
                          </a:xfrm>
                          <a:prstGeom prst="rect">
                            <a:avLst/>
                          </a:prstGeom>
                          <a:noFill/>
                        </pic:spPr>
                      </pic:pic>
                    </a:graphicData>
                  </a:graphic>
                </wp:inline>
              </w:drawing>
            </w:r>
          </w:p>
        </w:tc>
        <w:tc>
          <w:tcPr>
            <w:tcW w:w="4801" w:type="dxa"/>
          </w:tcPr>
          <w:p w:rsidR="005527B3" w:rsidRDefault="00CE3C2C" w:rsidP="005527B3">
            <w:pPr>
              <w:spacing w:line="360" w:lineRule="auto"/>
              <w:rPr>
                <w:rFonts w:ascii="Times New Roman" w:hAnsi="Times New Roman" w:cs="Times New Roman"/>
                <w:sz w:val="24"/>
                <w:szCs w:val="24"/>
                <w:lang w:val="pl-PL"/>
              </w:rPr>
            </w:pPr>
            <w:r>
              <w:rPr>
                <w:rFonts w:ascii="Times New Roman" w:hAnsi="Times New Roman" w:cs="Times New Roman"/>
                <w:noProof/>
                <w:sz w:val="24"/>
                <w:szCs w:val="24"/>
              </w:rPr>
              <w:drawing>
                <wp:inline distT="0" distB="0" distL="0" distR="0" wp14:anchorId="446315DD" wp14:editId="284AA0C5">
                  <wp:extent cx="2823741" cy="2152650"/>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6998" cy="2155133"/>
                          </a:xfrm>
                          <a:prstGeom prst="rect">
                            <a:avLst/>
                          </a:prstGeom>
                          <a:noFill/>
                        </pic:spPr>
                      </pic:pic>
                    </a:graphicData>
                  </a:graphic>
                </wp:inline>
              </w:drawing>
            </w:r>
          </w:p>
        </w:tc>
      </w:tr>
    </w:tbl>
    <w:p w:rsidR="00811C4E" w:rsidRDefault="00811C4E" w:rsidP="00811C4E">
      <w:pPr>
        <w:rPr>
          <w:rFonts w:ascii="Times New Roman" w:hAnsi="Times New Roman" w:cs="Times New Roman"/>
          <w:sz w:val="20"/>
          <w:szCs w:val="20"/>
          <w:lang w:val="pl-PL"/>
        </w:rPr>
      </w:pPr>
      <w:r w:rsidRPr="00F276A5">
        <w:rPr>
          <w:rFonts w:ascii="Times New Roman" w:hAnsi="Times New Roman" w:cs="Times New Roman"/>
          <w:i/>
          <w:sz w:val="20"/>
          <w:szCs w:val="20"/>
          <w:lang w:val="pl-PL"/>
        </w:rPr>
        <w:t>Źródło</w:t>
      </w:r>
      <w:r>
        <w:rPr>
          <w:rFonts w:ascii="Times New Roman" w:hAnsi="Times New Roman" w:cs="Times New Roman"/>
          <w:sz w:val="20"/>
          <w:szCs w:val="20"/>
          <w:lang w:val="pl-PL"/>
        </w:rPr>
        <w:t xml:space="preserve">: Obliczenia własne na podstawie danych z EUROSTATU.  </w:t>
      </w:r>
    </w:p>
    <w:p w:rsidR="00DF78AA" w:rsidRDefault="00A94F7A" w:rsidP="00811C4E">
      <w:pPr>
        <w:spacing w:after="0" w:line="360" w:lineRule="auto"/>
        <w:ind w:firstLine="72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Wykorzystanie jako kryterium wskaźnika wydatków </w:t>
      </w:r>
      <w:r w:rsidRPr="00A94F7A">
        <w:rPr>
          <w:rFonts w:ascii="Times New Roman" w:hAnsi="Times New Roman" w:cs="Times New Roman"/>
          <w:sz w:val="24"/>
          <w:szCs w:val="24"/>
          <w:lang w:val="pl-PL"/>
        </w:rPr>
        <w:t xml:space="preserve">na kapitał ludzki do wydatków na ochronę socjalną </w:t>
      </w:r>
      <w:r>
        <w:rPr>
          <w:rFonts w:ascii="Times New Roman" w:hAnsi="Times New Roman" w:cs="Times New Roman"/>
          <w:sz w:val="24"/>
          <w:szCs w:val="24"/>
          <w:lang w:val="pl-PL"/>
        </w:rPr>
        <w:t xml:space="preserve">podzielił analizowane kraje na wyraźne trzy grupy. Najwyższe pozycje w rankingu zajęły kraje bałtyckie oraz Czechy, w przypadku których analizowany wskaźnik przekroczył wartość 1 (ukształtował się w okolicach 1,2). </w:t>
      </w:r>
      <w:r w:rsidR="00DF78AA">
        <w:rPr>
          <w:rFonts w:ascii="Times New Roman" w:hAnsi="Times New Roman" w:cs="Times New Roman"/>
          <w:sz w:val="24"/>
          <w:szCs w:val="24"/>
          <w:lang w:val="pl-PL"/>
        </w:rPr>
        <w:t xml:space="preserve">Środkowa grupa obejmuje sześć krajów, Chorwację, Słowenię, Bułgarię, Rumunię, Węgry i Polskę, dla których </w:t>
      </w:r>
      <w:r w:rsidR="00CE3C2C">
        <w:rPr>
          <w:rFonts w:ascii="Times New Roman" w:hAnsi="Times New Roman" w:cs="Times New Roman"/>
          <w:sz w:val="24"/>
          <w:szCs w:val="24"/>
          <w:lang w:val="pl-PL"/>
        </w:rPr>
        <w:t xml:space="preserve">wskaźnik wynosił </w:t>
      </w:r>
      <w:r w:rsidR="00DF78AA">
        <w:rPr>
          <w:rFonts w:ascii="Times New Roman" w:hAnsi="Times New Roman" w:cs="Times New Roman"/>
          <w:sz w:val="24"/>
          <w:szCs w:val="24"/>
          <w:lang w:val="pl-PL"/>
        </w:rPr>
        <w:t xml:space="preserve">od 80 do 95%. Na tle pozostałych krajów ESW silnie odróżniała się  Słowacja, utrzymując wyjątkowo wysoki </w:t>
      </w:r>
      <w:r>
        <w:rPr>
          <w:rFonts w:ascii="Times New Roman" w:hAnsi="Times New Roman" w:cs="Times New Roman"/>
          <w:sz w:val="24"/>
          <w:szCs w:val="24"/>
          <w:lang w:val="pl-PL"/>
        </w:rPr>
        <w:t xml:space="preserve"> </w:t>
      </w:r>
      <w:r w:rsidR="00DF78AA">
        <w:rPr>
          <w:rFonts w:ascii="Times New Roman" w:hAnsi="Times New Roman" w:cs="Times New Roman"/>
          <w:sz w:val="24"/>
          <w:szCs w:val="24"/>
          <w:lang w:val="pl-PL"/>
        </w:rPr>
        <w:t xml:space="preserve">udział wydatków socjalnych. </w:t>
      </w:r>
    </w:p>
    <w:p w:rsidR="00A94F7A" w:rsidRDefault="00DF78AA" w:rsidP="00811C4E">
      <w:pPr>
        <w:spacing w:after="0" w:line="360" w:lineRule="auto"/>
        <w:ind w:firstLine="72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Ponieważ wydatki na kapitał ludzki nie wyczerpują katalogu wydatków  prorozwojowych, dlatego powyższy ranking uzupełniono drugą propozycją, uwzględniającą obok wydatków na kapitał  ludzki także wydatki na gospodarkę. Jest to pewne uproszczenie, </w:t>
      </w:r>
      <w:r w:rsidR="00D85CC8">
        <w:rPr>
          <w:rFonts w:ascii="Times New Roman" w:hAnsi="Times New Roman" w:cs="Times New Roman"/>
          <w:sz w:val="24"/>
          <w:szCs w:val="24"/>
          <w:lang w:val="pl-PL"/>
        </w:rPr>
        <w:t xml:space="preserve">wynikające z chęci pozostania na poziomie COFOG-I, </w:t>
      </w:r>
      <w:r>
        <w:rPr>
          <w:rFonts w:ascii="Times New Roman" w:hAnsi="Times New Roman" w:cs="Times New Roman"/>
          <w:sz w:val="24"/>
          <w:szCs w:val="24"/>
          <w:lang w:val="pl-PL"/>
        </w:rPr>
        <w:t>gdyż nie wszystkie wydatki na gospodarkę są traktowane jako wydatki rozwojowe</w:t>
      </w:r>
      <w:r w:rsidR="00D85CC8">
        <w:rPr>
          <w:rFonts w:ascii="Times New Roman" w:hAnsi="Times New Roman" w:cs="Times New Roman"/>
          <w:sz w:val="24"/>
          <w:szCs w:val="24"/>
          <w:lang w:val="pl-PL"/>
        </w:rPr>
        <w:t xml:space="preserve"> (same wydatki na  transport stanowią jednak ponad 50% wszystkich wydatków na gospodarkę). Nie wydzielono także wydatków na badania i rozwój oraz badania podstawowe,  ze względu na fakt, iż pomimo że są one istotnym rodzajem wydatków prorozwojowych, to jednak ich udział w strukturze jest niewielki</w:t>
      </w:r>
      <w:r w:rsidR="0087236A">
        <w:rPr>
          <w:rFonts w:ascii="Times New Roman" w:hAnsi="Times New Roman" w:cs="Times New Roman"/>
          <w:sz w:val="24"/>
          <w:szCs w:val="24"/>
          <w:lang w:val="pl-PL"/>
        </w:rPr>
        <w:t>, a zatem nie będą też miały istotnego wpływu na ranking. P</w:t>
      </w:r>
      <w:r>
        <w:rPr>
          <w:rFonts w:ascii="Times New Roman" w:hAnsi="Times New Roman" w:cs="Times New Roman"/>
          <w:sz w:val="24"/>
          <w:szCs w:val="24"/>
          <w:lang w:val="pl-PL"/>
        </w:rPr>
        <w:t xml:space="preserve">odstawą kryterium </w:t>
      </w:r>
      <w:proofErr w:type="spellStart"/>
      <w:r w:rsidR="0087236A">
        <w:rPr>
          <w:rFonts w:ascii="Times New Roman" w:hAnsi="Times New Roman" w:cs="Times New Roman"/>
          <w:sz w:val="24"/>
          <w:szCs w:val="24"/>
          <w:lang w:val="pl-PL"/>
        </w:rPr>
        <w:t>rangowania</w:t>
      </w:r>
      <w:proofErr w:type="spellEnd"/>
      <w:r w:rsidR="0087236A">
        <w:rPr>
          <w:rFonts w:ascii="Times New Roman" w:hAnsi="Times New Roman" w:cs="Times New Roman"/>
          <w:sz w:val="24"/>
          <w:szCs w:val="24"/>
          <w:lang w:val="pl-PL"/>
        </w:rPr>
        <w:t xml:space="preserve"> drugiej listy był zatem wskaźnik udziału wydatków </w:t>
      </w:r>
      <w:r w:rsidR="00CE3C2C">
        <w:rPr>
          <w:rFonts w:ascii="Times New Roman" w:hAnsi="Times New Roman" w:cs="Times New Roman"/>
          <w:sz w:val="24"/>
          <w:szCs w:val="24"/>
          <w:lang w:val="pl-PL"/>
        </w:rPr>
        <w:t>sprzyjających wzrostowi</w:t>
      </w:r>
      <w:r w:rsidR="0087236A">
        <w:rPr>
          <w:rFonts w:ascii="Times New Roman" w:hAnsi="Times New Roman" w:cs="Times New Roman"/>
          <w:sz w:val="24"/>
          <w:szCs w:val="24"/>
          <w:lang w:val="pl-PL"/>
        </w:rPr>
        <w:t xml:space="preserve"> (rozumianych jako wydatki na kapitał ludzki i wydatków na gospodarkę) w wydatkach ogółem. Wynik drugiego </w:t>
      </w:r>
      <w:proofErr w:type="spellStart"/>
      <w:r w:rsidR="0087236A">
        <w:rPr>
          <w:rFonts w:ascii="Times New Roman" w:hAnsi="Times New Roman" w:cs="Times New Roman"/>
          <w:sz w:val="24"/>
          <w:szCs w:val="24"/>
          <w:lang w:val="pl-PL"/>
        </w:rPr>
        <w:t>rangowania</w:t>
      </w:r>
      <w:proofErr w:type="spellEnd"/>
      <w:r w:rsidR="0087236A">
        <w:rPr>
          <w:rFonts w:ascii="Times New Roman" w:hAnsi="Times New Roman" w:cs="Times New Roman"/>
          <w:sz w:val="24"/>
          <w:szCs w:val="24"/>
          <w:lang w:val="pl-PL"/>
        </w:rPr>
        <w:t xml:space="preserve"> </w:t>
      </w:r>
      <w:r w:rsidR="00605F3A">
        <w:rPr>
          <w:rFonts w:ascii="Times New Roman" w:hAnsi="Times New Roman" w:cs="Times New Roman"/>
          <w:sz w:val="24"/>
          <w:szCs w:val="24"/>
          <w:lang w:val="pl-PL"/>
        </w:rPr>
        <w:t xml:space="preserve">jest zbliżony do </w:t>
      </w:r>
      <w:r w:rsidR="00605F3A">
        <w:rPr>
          <w:rFonts w:ascii="Times New Roman" w:hAnsi="Times New Roman" w:cs="Times New Roman"/>
          <w:sz w:val="24"/>
          <w:szCs w:val="24"/>
          <w:lang w:val="pl-PL"/>
        </w:rPr>
        <w:lastRenderedPageBreak/>
        <w:t>pierwszego (rys.</w:t>
      </w:r>
      <w:r w:rsidR="0087236A">
        <w:rPr>
          <w:rFonts w:ascii="Times New Roman" w:hAnsi="Times New Roman" w:cs="Times New Roman"/>
          <w:sz w:val="24"/>
          <w:szCs w:val="24"/>
          <w:lang w:val="pl-PL"/>
        </w:rPr>
        <w:t xml:space="preserve"> </w:t>
      </w:r>
      <w:r w:rsidR="00CE3C2C">
        <w:rPr>
          <w:rFonts w:ascii="Times New Roman" w:hAnsi="Times New Roman" w:cs="Times New Roman"/>
          <w:sz w:val="24"/>
          <w:szCs w:val="24"/>
          <w:lang w:val="pl-PL"/>
        </w:rPr>
        <w:t>3</w:t>
      </w:r>
      <w:r w:rsidR="00605F3A">
        <w:rPr>
          <w:rFonts w:ascii="Times New Roman" w:hAnsi="Times New Roman" w:cs="Times New Roman"/>
          <w:sz w:val="24"/>
          <w:szCs w:val="24"/>
          <w:lang w:val="pl-PL"/>
        </w:rPr>
        <w:t>.b).</w:t>
      </w:r>
      <w:r w:rsidR="0087236A">
        <w:rPr>
          <w:rFonts w:ascii="Times New Roman" w:hAnsi="Times New Roman" w:cs="Times New Roman"/>
          <w:sz w:val="24"/>
          <w:szCs w:val="24"/>
          <w:lang w:val="pl-PL"/>
        </w:rPr>
        <w:t xml:space="preserve"> Krajem o najbardziej </w:t>
      </w:r>
      <w:proofErr w:type="spellStart"/>
      <w:r w:rsidR="0087236A">
        <w:rPr>
          <w:rFonts w:ascii="Times New Roman" w:hAnsi="Times New Roman" w:cs="Times New Roman"/>
          <w:sz w:val="24"/>
          <w:szCs w:val="24"/>
          <w:lang w:val="pl-PL"/>
        </w:rPr>
        <w:t>pro</w:t>
      </w:r>
      <w:r w:rsidR="00CE3C2C">
        <w:rPr>
          <w:rFonts w:ascii="Times New Roman" w:hAnsi="Times New Roman" w:cs="Times New Roman"/>
          <w:sz w:val="24"/>
          <w:szCs w:val="24"/>
          <w:lang w:val="pl-PL"/>
        </w:rPr>
        <w:t>wzrosto</w:t>
      </w:r>
      <w:r w:rsidR="0087236A">
        <w:rPr>
          <w:rFonts w:ascii="Times New Roman" w:hAnsi="Times New Roman" w:cs="Times New Roman"/>
          <w:sz w:val="24"/>
          <w:szCs w:val="24"/>
          <w:lang w:val="pl-PL"/>
        </w:rPr>
        <w:t>wej</w:t>
      </w:r>
      <w:proofErr w:type="spellEnd"/>
      <w:r w:rsidR="0087236A">
        <w:rPr>
          <w:rFonts w:ascii="Times New Roman" w:hAnsi="Times New Roman" w:cs="Times New Roman"/>
          <w:sz w:val="24"/>
          <w:szCs w:val="24"/>
          <w:lang w:val="pl-PL"/>
        </w:rPr>
        <w:t xml:space="preserve"> strukturze wydatków publicznych okazały się Czechy, a kolejne miejsce zajęły Estonia i Łotwa. W drugim rankingu odstęp liderów od grupy średniej nie jest tak wyraźny jak w pierwszym, do średniej grupy przesunęła się też Litwa (w obydwu przypadkach zajęła czwarte miejsce). Natomiast Słowacja, w każdym rankingu, jest krajem silnie odbiegającym od wszystkich pozostałych krajów, zajmującym zdecydowanie ostatnie miejsce. P</w:t>
      </w:r>
      <w:r w:rsidR="00811C4E">
        <w:rPr>
          <w:rFonts w:ascii="Times New Roman" w:hAnsi="Times New Roman" w:cs="Times New Roman"/>
          <w:sz w:val="24"/>
          <w:szCs w:val="24"/>
          <w:lang w:val="pl-PL"/>
        </w:rPr>
        <w:t xml:space="preserve">olska w obydwu rankingach zaliczona została do grupy środkowej, ale w grupie tej zajmowała najniższą pozycję – było to przedostatnie </w:t>
      </w:r>
      <w:r w:rsidR="0087236A">
        <w:rPr>
          <w:rFonts w:ascii="Times New Roman" w:hAnsi="Times New Roman" w:cs="Times New Roman"/>
          <w:sz w:val="24"/>
          <w:szCs w:val="24"/>
          <w:lang w:val="pl-PL"/>
        </w:rPr>
        <w:t xml:space="preserve"> miejsce</w:t>
      </w:r>
      <w:r w:rsidR="00811C4E">
        <w:rPr>
          <w:rFonts w:ascii="Times New Roman" w:hAnsi="Times New Roman" w:cs="Times New Roman"/>
          <w:sz w:val="24"/>
          <w:szCs w:val="24"/>
          <w:lang w:val="pl-PL"/>
        </w:rPr>
        <w:t xml:space="preserve"> w rankingu</w:t>
      </w:r>
      <w:r w:rsidR="0087236A">
        <w:rPr>
          <w:rFonts w:ascii="Times New Roman" w:hAnsi="Times New Roman" w:cs="Times New Roman"/>
          <w:sz w:val="24"/>
          <w:szCs w:val="24"/>
          <w:lang w:val="pl-PL"/>
        </w:rPr>
        <w:t>, pomiędzy Słowacją i Węgrami</w:t>
      </w:r>
      <w:r w:rsidR="005B681C">
        <w:rPr>
          <w:rFonts w:ascii="Times New Roman" w:hAnsi="Times New Roman" w:cs="Times New Roman"/>
          <w:sz w:val="24"/>
          <w:szCs w:val="24"/>
          <w:lang w:val="pl-PL"/>
        </w:rPr>
        <w:t>.</w:t>
      </w:r>
      <w:r w:rsidR="009551FE">
        <w:rPr>
          <w:rFonts w:ascii="Times New Roman" w:hAnsi="Times New Roman" w:cs="Times New Roman"/>
          <w:sz w:val="24"/>
          <w:szCs w:val="24"/>
          <w:lang w:val="pl-PL"/>
        </w:rPr>
        <w:t xml:space="preserve"> </w:t>
      </w:r>
    </w:p>
    <w:p w:rsidR="00CE3C2C" w:rsidRDefault="00CE3C2C" w:rsidP="00811C4E">
      <w:pPr>
        <w:spacing w:after="0" w:line="360" w:lineRule="auto"/>
        <w:ind w:firstLine="720"/>
        <w:jc w:val="both"/>
        <w:rPr>
          <w:rFonts w:ascii="Times New Roman" w:hAnsi="Times New Roman" w:cs="Times New Roman"/>
          <w:sz w:val="24"/>
          <w:szCs w:val="24"/>
          <w:lang w:val="pl-PL"/>
        </w:rPr>
      </w:pPr>
    </w:p>
    <w:p w:rsidR="00CE3C2C" w:rsidRPr="00191650" w:rsidRDefault="00CE3C2C" w:rsidP="00CE3C2C">
      <w:pPr>
        <w:pStyle w:val="Akapitzlist"/>
        <w:numPr>
          <w:ilvl w:val="0"/>
          <w:numId w:val="8"/>
        </w:numPr>
        <w:ind w:left="426"/>
        <w:rPr>
          <w:rFonts w:ascii="Times New Roman" w:hAnsi="Times New Roman" w:cs="Times New Roman"/>
          <w:b/>
          <w:sz w:val="24"/>
          <w:szCs w:val="24"/>
          <w:lang w:val="pl-PL"/>
        </w:rPr>
      </w:pPr>
      <w:r>
        <w:rPr>
          <w:rFonts w:ascii="Times New Roman" w:hAnsi="Times New Roman" w:cs="Times New Roman"/>
          <w:b/>
          <w:sz w:val="24"/>
          <w:szCs w:val="24"/>
          <w:lang w:val="pl-PL"/>
        </w:rPr>
        <w:t xml:space="preserve">Gospodarcze i społeczne oddziaływanie struktury wydatków </w:t>
      </w:r>
      <w:r w:rsidRPr="00191650">
        <w:rPr>
          <w:rFonts w:ascii="Times New Roman" w:hAnsi="Times New Roman" w:cs="Times New Roman"/>
          <w:b/>
          <w:sz w:val="24"/>
          <w:szCs w:val="24"/>
          <w:lang w:val="pl-PL"/>
        </w:rPr>
        <w:t xml:space="preserve"> </w:t>
      </w:r>
      <w:r>
        <w:rPr>
          <w:rFonts w:ascii="Times New Roman" w:hAnsi="Times New Roman" w:cs="Times New Roman"/>
          <w:b/>
          <w:sz w:val="24"/>
          <w:szCs w:val="24"/>
          <w:lang w:val="pl-PL"/>
        </w:rPr>
        <w:t>publicznych</w:t>
      </w:r>
    </w:p>
    <w:p w:rsidR="0041585A" w:rsidRDefault="001A5755" w:rsidP="002317F6">
      <w:pPr>
        <w:spacing w:after="0" w:line="360" w:lineRule="auto"/>
        <w:ind w:firstLine="709"/>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Zróżnicowana struktura wydatków publicznych odzwierciedla charakter prowadzonej polityki fiskalnej oraz hierarchię zadań realizowanych przez państwo.  W </w:t>
      </w:r>
      <w:r w:rsidR="00A23EDF">
        <w:rPr>
          <w:rFonts w:ascii="Times New Roman" w:hAnsi="Times New Roman" w:cs="Times New Roman"/>
          <w:sz w:val="24"/>
          <w:szCs w:val="24"/>
          <w:lang w:val="pl-PL"/>
        </w:rPr>
        <w:t>końcowej</w:t>
      </w:r>
      <w:r>
        <w:rPr>
          <w:rFonts w:ascii="Times New Roman" w:hAnsi="Times New Roman" w:cs="Times New Roman"/>
          <w:sz w:val="24"/>
          <w:szCs w:val="24"/>
          <w:lang w:val="pl-PL"/>
        </w:rPr>
        <w:t xml:space="preserve"> analizie </w:t>
      </w:r>
      <w:r w:rsidR="00B10D09">
        <w:rPr>
          <w:rFonts w:ascii="Times New Roman" w:hAnsi="Times New Roman" w:cs="Times New Roman"/>
          <w:sz w:val="24"/>
          <w:szCs w:val="24"/>
          <w:lang w:val="pl-PL"/>
        </w:rPr>
        <w:t xml:space="preserve">skupiono się na dwóch </w:t>
      </w:r>
      <w:r>
        <w:rPr>
          <w:rFonts w:ascii="Times New Roman" w:hAnsi="Times New Roman" w:cs="Times New Roman"/>
          <w:sz w:val="24"/>
          <w:szCs w:val="24"/>
          <w:lang w:val="pl-PL"/>
        </w:rPr>
        <w:t>obszar</w:t>
      </w:r>
      <w:r w:rsidR="00B10D09">
        <w:rPr>
          <w:rFonts w:ascii="Times New Roman" w:hAnsi="Times New Roman" w:cs="Times New Roman"/>
          <w:sz w:val="24"/>
          <w:szCs w:val="24"/>
          <w:lang w:val="pl-PL"/>
        </w:rPr>
        <w:t>ach</w:t>
      </w:r>
      <w:r>
        <w:rPr>
          <w:rFonts w:ascii="Times New Roman" w:hAnsi="Times New Roman" w:cs="Times New Roman"/>
          <w:sz w:val="24"/>
          <w:szCs w:val="24"/>
          <w:lang w:val="pl-PL"/>
        </w:rPr>
        <w:t xml:space="preserve"> oddziaływania państwa: </w:t>
      </w:r>
      <w:r w:rsidR="00B10D09">
        <w:rPr>
          <w:rFonts w:ascii="Times New Roman" w:hAnsi="Times New Roman" w:cs="Times New Roman"/>
          <w:sz w:val="24"/>
          <w:szCs w:val="24"/>
          <w:lang w:val="pl-PL"/>
        </w:rPr>
        <w:t xml:space="preserve">gospodarczym i społecznym. </w:t>
      </w:r>
      <w:r w:rsidR="00B10D09" w:rsidRPr="0041585A">
        <w:rPr>
          <w:rFonts w:ascii="Times New Roman" w:hAnsi="Times New Roman" w:cs="Times New Roman"/>
          <w:sz w:val="24"/>
          <w:szCs w:val="24"/>
          <w:lang w:val="pl-PL"/>
        </w:rPr>
        <w:t xml:space="preserve">W celu </w:t>
      </w:r>
      <w:r w:rsidR="00B10D09">
        <w:rPr>
          <w:rFonts w:ascii="Times New Roman" w:hAnsi="Times New Roman" w:cs="Times New Roman"/>
          <w:sz w:val="24"/>
          <w:szCs w:val="24"/>
          <w:lang w:val="pl-PL"/>
        </w:rPr>
        <w:t xml:space="preserve">zbadania istotności wpływu wybranych kategorii wydatków publicznych na powyższe obszary, wykorzystano </w:t>
      </w:r>
      <w:r w:rsidR="00A23EDF">
        <w:rPr>
          <w:rFonts w:ascii="Times New Roman" w:hAnsi="Times New Roman" w:cs="Times New Roman"/>
          <w:sz w:val="24"/>
          <w:szCs w:val="24"/>
          <w:lang w:val="pl-PL"/>
        </w:rPr>
        <w:t>panelowe</w:t>
      </w:r>
      <w:r w:rsidR="00B10D09">
        <w:rPr>
          <w:rFonts w:ascii="Times New Roman" w:hAnsi="Times New Roman" w:cs="Times New Roman"/>
          <w:sz w:val="24"/>
          <w:szCs w:val="24"/>
          <w:lang w:val="pl-PL"/>
        </w:rPr>
        <w:t xml:space="preserve"> modele regresji, w których w</w:t>
      </w:r>
      <w:r>
        <w:rPr>
          <w:rFonts w:ascii="Times New Roman" w:hAnsi="Times New Roman" w:cs="Times New Roman"/>
          <w:sz w:val="24"/>
          <w:szCs w:val="24"/>
          <w:lang w:val="pl-PL"/>
        </w:rPr>
        <w:t xml:space="preserve"> roli zmiennych objaśni</w:t>
      </w:r>
      <w:r w:rsidR="00B10D09">
        <w:rPr>
          <w:rFonts w:ascii="Times New Roman" w:hAnsi="Times New Roman" w:cs="Times New Roman"/>
          <w:sz w:val="24"/>
          <w:szCs w:val="24"/>
          <w:lang w:val="pl-PL"/>
        </w:rPr>
        <w:t xml:space="preserve">anych przyjęto realną stopę wzrostu PKB (odzwierciedlającą wzrost gospodarczy) oraz indeks </w:t>
      </w:r>
      <w:proofErr w:type="spellStart"/>
      <w:r w:rsidR="00B10D09">
        <w:rPr>
          <w:rFonts w:ascii="Times New Roman" w:hAnsi="Times New Roman" w:cs="Times New Roman"/>
          <w:sz w:val="24"/>
          <w:szCs w:val="24"/>
          <w:lang w:val="pl-PL"/>
        </w:rPr>
        <w:t>Gini</w:t>
      </w:r>
      <w:proofErr w:type="spellEnd"/>
      <w:r w:rsidR="00B10D09">
        <w:rPr>
          <w:rFonts w:ascii="Times New Roman" w:hAnsi="Times New Roman" w:cs="Times New Roman"/>
          <w:sz w:val="24"/>
          <w:szCs w:val="24"/>
          <w:lang w:val="pl-PL"/>
        </w:rPr>
        <w:t xml:space="preserve"> (odzwierciedlający poziom nierówności dochodów w społeczeństwie). </w:t>
      </w:r>
      <w:r w:rsidR="00C83F12">
        <w:rPr>
          <w:rFonts w:ascii="Times New Roman" w:hAnsi="Times New Roman" w:cs="Times New Roman"/>
          <w:sz w:val="24"/>
          <w:szCs w:val="24"/>
          <w:lang w:val="pl-PL"/>
        </w:rPr>
        <w:t xml:space="preserve">W roli zmiennych objaśniających przyjęto albo poziom wydatków z określonej kategorii j w relacji do PKB (równanie </w:t>
      </w:r>
      <w:r w:rsidR="00820759">
        <w:rPr>
          <w:rFonts w:ascii="Times New Roman" w:hAnsi="Times New Roman" w:cs="Times New Roman"/>
          <w:sz w:val="24"/>
          <w:szCs w:val="24"/>
          <w:lang w:val="pl-PL"/>
        </w:rPr>
        <w:t>2</w:t>
      </w:r>
      <w:r w:rsidR="00C83F12">
        <w:rPr>
          <w:rFonts w:ascii="Times New Roman" w:hAnsi="Times New Roman" w:cs="Times New Roman"/>
          <w:sz w:val="24"/>
          <w:szCs w:val="24"/>
          <w:lang w:val="pl-PL"/>
        </w:rPr>
        <w:t>), albo ich udział w strukturze wydatków ogółem wprowadzając wówczas także jako zmienną kontrolną poziom wydatków ogółem do PKB</w:t>
      </w:r>
      <w:r w:rsidR="00820759">
        <w:rPr>
          <w:rFonts w:ascii="Times New Roman" w:hAnsi="Times New Roman" w:cs="Times New Roman"/>
          <w:sz w:val="24"/>
          <w:szCs w:val="24"/>
          <w:lang w:val="pl-PL"/>
        </w:rPr>
        <w:t xml:space="preserve"> (równanie 1).</w:t>
      </w:r>
      <w:r w:rsidR="00C83F12">
        <w:rPr>
          <w:rFonts w:ascii="Times New Roman" w:hAnsi="Times New Roman" w:cs="Times New Roman"/>
          <w:sz w:val="24"/>
          <w:szCs w:val="24"/>
          <w:lang w:val="pl-PL"/>
        </w:rPr>
        <w:t xml:space="preserve"> W obu modelach kontrolowano także poziom </w:t>
      </w:r>
      <w:r w:rsidR="00504B83">
        <w:rPr>
          <w:rFonts w:ascii="Times New Roman" w:hAnsi="Times New Roman" w:cs="Times New Roman"/>
          <w:sz w:val="24"/>
          <w:szCs w:val="24"/>
          <w:lang w:val="pl-PL"/>
        </w:rPr>
        <w:t>rozwoju kraju</w:t>
      </w:r>
      <w:r w:rsidR="00C83F12">
        <w:rPr>
          <w:rFonts w:ascii="Times New Roman" w:hAnsi="Times New Roman" w:cs="Times New Roman"/>
          <w:sz w:val="24"/>
          <w:szCs w:val="24"/>
          <w:lang w:val="pl-PL"/>
        </w:rPr>
        <w:t xml:space="preserve"> (PKB </w:t>
      </w:r>
      <w:r w:rsidR="00C83F12" w:rsidRPr="00D30F85">
        <w:rPr>
          <w:rFonts w:ascii="Times New Roman" w:hAnsi="Times New Roman" w:cs="Times New Roman"/>
          <w:i/>
          <w:sz w:val="24"/>
          <w:szCs w:val="24"/>
          <w:lang w:val="pl-PL"/>
        </w:rPr>
        <w:t>per capita</w:t>
      </w:r>
      <w:r w:rsidR="00C83F12">
        <w:rPr>
          <w:rFonts w:ascii="Times New Roman" w:hAnsi="Times New Roman" w:cs="Times New Roman"/>
          <w:sz w:val="24"/>
          <w:szCs w:val="24"/>
          <w:lang w:val="pl-PL"/>
        </w:rPr>
        <w:t>)</w:t>
      </w:r>
      <w:r w:rsidR="00D30F85">
        <w:rPr>
          <w:rFonts w:ascii="Times New Roman" w:hAnsi="Times New Roman" w:cs="Times New Roman"/>
          <w:sz w:val="24"/>
          <w:szCs w:val="24"/>
          <w:lang w:val="pl-PL"/>
        </w:rPr>
        <w:t xml:space="preserve">. </w:t>
      </w:r>
    </w:p>
    <w:p w:rsidR="00B10D09" w:rsidRDefault="007B488D" w:rsidP="00820759">
      <w:pPr>
        <w:spacing w:line="360" w:lineRule="auto"/>
        <w:ind w:firstLine="709"/>
        <w:rPr>
          <w:rFonts w:ascii="Times New Roman" w:eastAsiaTheme="minorEastAsia" w:hAnsi="Times New Roman" w:cs="Times New Roman"/>
          <w:sz w:val="24"/>
          <w:szCs w:val="24"/>
          <w:lang w:val="pl-PL"/>
        </w:rPr>
      </w:pPr>
      <m:oMath>
        <m:sSub>
          <m:sSubPr>
            <m:ctrlPr>
              <w:rPr>
                <w:rFonts w:ascii="Cambria Math" w:hAnsi="Cambria Math" w:cs="Times New Roman"/>
                <w:i/>
                <w:sz w:val="24"/>
                <w:szCs w:val="24"/>
                <w:lang w:val="pl-PL"/>
              </w:rPr>
            </m:ctrlPr>
          </m:sSubPr>
          <m:e>
            <m:r>
              <w:rPr>
                <w:rFonts w:ascii="Cambria Math" w:hAnsi="Cambria Math" w:cs="Times New Roman"/>
                <w:sz w:val="24"/>
                <w:szCs w:val="24"/>
                <w:lang w:val="pl-PL"/>
              </w:rPr>
              <m:t>Y</m:t>
            </m:r>
          </m:e>
          <m:sub>
            <m:r>
              <w:rPr>
                <w:rFonts w:ascii="Cambria Math" w:hAnsi="Cambria Math" w:cs="Times New Roman"/>
                <w:sz w:val="24"/>
                <w:szCs w:val="24"/>
                <w:lang w:val="pl-PL"/>
              </w:rPr>
              <m:t>it</m:t>
            </m:r>
          </m:sub>
        </m:sSub>
        <m:r>
          <w:rPr>
            <w:rFonts w:ascii="Cambria Math" w:hAnsi="Cambria Math" w:cs="Times New Roman"/>
            <w:sz w:val="24"/>
            <w:szCs w:val="24"/>
            <w:lang w:val="pl-PL"/>
          </w:rPr>
          <m:t>=</m:t>
        </m:r>
        <m:sSub>
          <m:sSubPr>
            <m:ctrlPr>
              <w:rPr>
                <w:rFonts w:ascii="Cambria Math" w:hAnsi="Cambria Math" w:cs="Times New Roman"/>
                <w:i/>
                <w:sz w:val="24"/>
                <w:szCs w:val="24"/>
                <w:lang w:val="pl-PL"/>
              </w:rPr>
            </m:ctrlPr>
          </m:sSubPr>
          <m:e>
            <m:r>
              <w:rPr>
                <w:rFonts w:ascii="Cambria Math" w:hAnsi="Cambria Math" w:cs="Times New Roman"/>
                <w:sz w:val="24"/>
                <w:szCs w:val="24"/>
                <w:lang w:val="pl-PL"/>
              </w:rPr>
              <m:t>β</m:t>
            </m:r>
          </m:e>
          <m:sub>
            <m:r>
              <w:rPr>
                <w:rFonts w:ascii="Cambria Math" w:hAnsi="Cambria Math" w:cs="Times New Roman"/>
                <w:sz w:val="24"/>
                <w:szCs w:val="24"/>
                <w:lang w:val="pl-PL"/>
              </w:rPr>
              <m:t>0</m:t>
            </m:r>
          </m:sub>
        </m:sSub>
        <m:r>
          <w:rPr>
            <w:rFonts w:ascii="Cambria Math" w:hAnsi="Cambria Math" w:cs="Times New Roman"/>
            <w:sz w:val="24"/>
            <w:szCs w:val="24"/>
            <w:lang w:val="pl-PL"/>
          </w:rPr>
          <m:t xml:space="preserve">+ </m:t>
        </m:r>
        <m:sSub>
          <m:sSubPr>
            <m:ctrlPr>
              <w:rPr>
                <w:rFonts w:ascii="Cambria Math" w:hAnsi="Cambria Math" w:cs="Times New Roman"/>
                <w:i/>
                <w:sz w:val="24"/>
                <w:szCs w:val="24"/>
                <w:lang w:val="pl-PL"/>
              </w:rPr>
            </m:ctrlPr>
          </m:sSubPr>
          <m:e>
            <m:nary>
              <m:naryPr>
                <m:chr m:val="∑"/>
                <m:limLoc m:val="undOvr"/>
                <m:supHide m:val="1"/>
                <m:ctrlPr>
                  <w:rPr>
                    <w:rFonts w:ascii="Cambria Math" w:hAnsi="Cambria Math" w:cs="Times New Roman"/>
                    <w:i/>
                    <w:sz w:val="24"/>
                    <w:szCs w:val="24"/>
                    <w:lang w:val="pl-PL"/>
                  </w:rPr>
                </m:ctrlPr>
              </m:naryPr>
              <m:sub>
                <m:r>
                  <w:rPr>
                    <w:rFonts w:ascii="Cambria Math" w:hAnsi="Cambria Math" w:cs="Times New Roman"/>
                    <w:sz w:val="24"/>
                    <w:szCs w:val="24"/>
                    <w:lang w:val="pl-PL"/>
                  </w:rPr>
                  <m:t>j</m:t>
                </m:r>
              </m:sub>
              <m:sup/>
              <m:e>
                <m:r>
                  <w:rPr>
                    <w:rFonts w:ascii="Cambria Math" w:hAnsi="Cambria Math" w:cs="Times New Roman"/>
                    <w:sz w:val="24"/>
                    <w:szCs w:val="24"/>
                    <w:lang w:val="pl-PL"/>
                  </w:rPr>
                  <m:t xml:space="preserve"> </m:t>
                </m:r>
                <m:sSub>
                  <m:sSubPr>
                    <m:ctrlPr>
                      <w:rPr>
                        <w:rFonts w:ascii="Cambria Math" w:hAnsi="Cambria Math" w:cs="Times New Roman"/>
                        <w:i/>
                        <w:sz w:val="24"/>
                        <w:szCs w:val="24"/>
                        <w:lang w:val="pl-PL"/>
                      </w:rPr>
                    </m:ctrlPr>
                  </m:sSubPr>
                  <m:e>
                    <m:r>
                      <w:rPr>
                        <w:rFonts w:ascii="Cambria Math" w:hAnsi="Cambria Math" w:cs="Times New Roman"/>
                        <w:sz w:val="24"/>
                        <w:szCs w:val="24"/>
                        <w:lang w:val="pl-PL"/>
                      </w:rPr>
                      <m:t>β</m:t>
                    </m:r>
                  </m:e>
                  <m:sub>
                    <m:r>
                      <w:rPr>
                        <w:rFonts w:ascii="Cambria Math" w:hAnsi="Cambria Math" w:cs="Times New Roman"/>
                        <w:sz w:val="24"/>
                        <w:szCs w:val="24"/>
                        <w:lang w:val="pl-PL"/>
                      </w:rPr>
                      <m:t>1j</m:t>
                    </m:r>
                  </m:sub>
                </m:sSub>
                <m:r>
                  <w:rPr>
                    <w:rFonts w:ascii="Cambria Math" w:hAnsi="Cambria Math" w:cs="Times New Roman"/>
                    <w:sz w:val="24"/>
                    <w:szCs w:val="24"/>
                    <w:lang w:val="pl-PL"/>
                  </w:rPr>
                  <m:t>u</m:t>
                </m:r>
                <m:sSub>
                  <m:sSubPr>
                    <m:ctrlPr>
                      <w:rPr>
                        <w:rFonts w:ascii="Cambria Math" w:hAnsi="Cambria Math" w:cs="Times New Roman"/>
                        <w:i/>
                        <w:sz w:val="24"/>
                        <w:szCs w:val="24"/>
                        <w:lang w:val="pl-PL"/>
                      </w:rPr>
                    </m:ctrlPr>
                  </m:sSubPr>
                  <m:e>
                    <m:r>
                      <w:rPr>
                        <w:rFonts w:ascii="Cambria Math" w:hAnsi="Cambria Math" w:cs="Times New Roman"/>
                        <w:sz w:val="24"/>
                        <w:szCs w:val="24"/>
                        <w:lang w:val="pl-PL"/>
                      </w:rPr>
                      <m:t>GF</m:t>
                    </m:r>
                  </m:e>
                  <m:sub>
                    <m:r>
                      <w:rPr>
                        <w:rFonts w:ascii="Cambria Math" w:hAnsi="Cambria Math" w:cs="Times New Roman"/>
                        <w:sz w:val="24"/>
                        <w:szCs w:val="24"/>
                        <w:lang w:val="pl-PL"/>
                      </w:rPr>
                      <m:t>jit</m:t>
                    </m:r>
                  </m:sub>
                </m:sSub>
                <m:r>
                  <w:rPr>
                    <w:rFonts w:ascii="Cambria Math" w:hAnsi="Cambria Math" w:cs="Times New Roman"/>
                    <w:sz w:val="24"/>
                    <w:szCs w:val="24"/>
                    <w:lang w:val="pl-PL"/>
                  </w:rPr>
                  <m:t xml:space="preserve">   </m:t>
                </m:r>
              </m:e>
            </m:nary>
            <m:r>
              <w:rPr>
                <w:rFonts w:ascii="Cambria Math" w:hAnsi="Cambria Math" w:cs="Times New Roman"/>
                <w:sz w:val="24"/>
                <w:szCs w:val="24"/>
                <w:lang w:val="pl-PL"/>
              </w:rPr>
              <m:t>+β</m:t>
            </m:r>
          </m:e>
          <m:sub>
            <m:r>
              <w:rPr>
                <w:rFonts w:ascii="Cambria Math" w:hAnsi="Cambria Math" w:cs="Times New Roman"/>
                <w:sz w:val="24"/>
                <w:szCs w:val="24"/>
                <w:lang w:val="pl-PL"/>
              </w:rPr>
              <m:t>2</m:t>
            </m:r>
          </m:sub>
        </m:sSub>
        <m:sSub>
          <m:sSubPr>
            <m:ctrlPr>
              <w:rPr>
                <w:rFonts w:ascii="Cambria Math" w:hAnsi="Cambria Math" w:cs="Times New Roman"/>
                <w:i/>
                <w:sz w:val="24"/>
                <w:szCs w:val="24"/>
                <w:lang w:val="pl-PL"/>
              </w:rPr>
            </m:ctrlPr>
          </m:sSubPr>
          <m:e>
            <m:r>
              <w:rPr>
                <w:rFonts w:ascii="Cambria Math" w:hAnsi="Cambria Math" w:cs="Times New Roman"/>
                <w:sz w:val="24"/>
                <w:szCs w:val="24"/>
                <w:lang w:val="pl-PL"/>
              </w:rPr>
              <m:t>GF</m:t>
            </m:r>
          </m:e>
          <m:sub>
            <m:r>
              <w:rPr>
                <w:rFonts w:ascii="Cambria Math" w:hAnsi="Cambria Math" w:cs="Times New Roman"/>
                <w:sz w:val="24"/>
                <w:szCs w:val="24"/>
                <w:lang w:val="pl-PL"/>
              </w:rPr>
              <m:t>it</m:t>
            </m:r>
          </m:sub>
        </m:sSub>
        <m:r>
          <w:rPr>
            <w:rFonts w:ascii="Cambria Math" w:hAnsi="Cambria Math" w:cs="Times New Roman"/>
            <w:sz w:val="24"/>
            <w:szCs w:val="24"/>
            <w:lang w:val="pl-PL"/>
          </w:rPr>
          <m:t>+</m:t>
        </m:r>
        <m:sSub>
          <m:sSubPr>
            <m:ctrlPr>
              <w:rPr>
                <w:rFonts w:ascii="Cambria Math" w:hAnsi="Cambria Math" w:cs="Times New Roman"/>
                <w:i/>
                <w:sz w:val="24"/>
                <w:szCs w:val="24"/>
                <w:lang w:val="pl-PL"/>
              </w:rPr>
            </m:ctrlPr>
          </m:sSubPr>
          <m:e>
            <m:r>
              <w:rPr>
                <w:rFonts w:ascii="Cambria Math" w:hAnsi="Cambria Math" w:cs="Times New Roman"/>
                <w:sz w:val="24"/>
                <w:szCs w:val="24"/>
                <w:lang w:val="pl-PL"/>
              </w:rPr>
              <m:t>β</m:t>
            </m:r>
          </m:e>
          <m:sub>
            <m:r>
              <w:rPr>
                <w:rFonts w:ascii="Cambria Math" w:hAnsi="Cambria Math" w:cs="Times New Roman"/>
                <w:sz w:val="24"/>
                <w:szCs w:val="24"/>
                <w:lang w:val="pl-PL"/>
              </w:rPr>
              <m:t>3</m:t>
            </m:r>
          </m:sub>
        </m:sSub>
        <m:r>
          <w:rPr>
            <w:rFonts w:ascii="Cambria Math" w:hAnsi="Cambria Math" w:cs="Times New Roman"/>
            <w:sz w:val="24"/>
            <w:szCs w:val="24"/>
            <w:lang w:val="pl-PL"/>
          </w:rPr>
          <m:t xml:space="preserve"> </m:t>
        </m:r>
        <m:sSub>
          <m:sSubPr>
            <m:ctrlPr>
              <w:rPr>
                <w:rFonts w:ascii="Cambria Math" w:hAnsi="Cambria Math" w:cs="Times New Roman"/>
                <w:i/>
                <w:sz w:val="24"/>
                <w:szCs w:val="24"/>
                <w:lang w:val="pl-PL"/>
              </w:rPr>
            </m:ctrlPr>
          </m:sSubPr>
          <m:e>
            <m:r>
              <w:rPr>
                <w:rFonts w:ascii="Cambria Math" w:hAnsi="Cambria Math" w:cs="Times New Roman"/>
                <w:sz w:val="24"/>
                <w:szCs w:val="24"/>
                <w:lang w:val="pl-PL"/>
              </w:rPr>
              <m:t>LPKB</m:t>
            </m:r>
          </m:e>
          <m:sub>
            <m:r>
              <w:rPr>
                <w:rFonts w:ascii="Cambria Math" w:hAnsi="Cambria Math" w:cs="Times New Roman"/>
                <w:sz w:val="24"/>
                <w:szCs w:val="24"/>
                <w:lang w:val="pl-PL"/>
              </w:rPr>
              <m:t>it</m:t>
            </m:r>
          </m:sub>
        </m:sSub>
        <m:r>
          <w:rPr>
            <w:rFonts w:ascii="Cambria Math" w:hAnsi="Cambria Math" w:cs="Times New Roman"/>
            <w:sz w:val="24"/>
            <w:szCs w:val="24"/>
            <w:lang w:val="pl-PL"/>
          </w:rPr>
          <m:t xml:space="preserve">+ </m:t>
        </m:r>
        <m:sSub>
          <m:sSubPr>
            <m:ctrlPr>
              <w:rPr>
                <w:rFonts w:ascii="Cambria Math" w:hAnsi="Cambria Math" w:cs="Times New Roman"/>
                <w:i/>
                <w:sz w:val="24"/>
                <w:szCs w:val="24"/>
                <w:lang w:val="pl-PL"/>
              </w:rPr>
            </m:ctrlPr>
          </m:sSubPr>
          <m:e>
            <m:r>
              <w:rPr>
                <w:rFonts w:ascii="Cambria Math" w:hAnsi="Cambria Math" w:cs="Times New Roman"/>
                <w:sz w:val="24"/>
                <w:szCs w:val="24"/>
                <w:lang w:val="pl-PL"/>
              </w:rPr>
              <m:t>ε</m:t>
            </m:r>
          </m:e>
          <m:sub/>
        </m:sSub>
      </m:oMath>
      <w:r w:rsidR="00C26615">
        <w:rPr>
          <w:rFonts w:ascii="Times New Roman" w:eastAsiaTheme="minorEastAsia" w:hAnsi="Times New Roman" w:cs="Times New Roman"/>
          <w:sz w:val="24"/>
          <w:szCs w:val="24"/>
          <w:lang w:val="pl-PL"/>
        </w:rPr>
        <w:t xml:space="preserve">                                    (</w:t>
      </w:r>
      <w:r w:rsidR="00820759">
        <w:rPr>
          <w:rFonts w:ascii="Times New Roman" w:eastAsiaTheme="minorEastAsia" w:hAnsi="Times New Roman" w:cs="Times New Roman"/>
          <w:sz w:val="24"/>
          <w:szCs w:val="24"/>
          <w:lang w:val="pl-PL"/>
        </w:rPr>
        <w:t>1</w:t>
      </w:r>
      <w:r w:rsidR="00C26615">
        <w:rPr>
          <w:rFonts w:ascii="Times New Roman" w:eastAsiaTheme="minorEastAsia" w:hAnsi="Times New Roman" w:cs="Times New Roman"/>
          <w:sz w:val="24"/>
          <w:szCs w:val="24"/>
          <w:lang w:val="pl-PL"/>
        </w:rPr>
        <w:t>)</w:t>
      </w:r>
    </w:p>
    <w:p w:rsidR="00820759" w:rsidRPr="0041585A" w:rsidRDefault="007B488D" w:rsidP="00820759">
      <w:pPr>
        <w:spacing w:line="360" w:lineRule="auto"/>
        <w:ind w:firstLine="709"/>
        <w:rPr>
          <w:rFonts w:ascii="Times New Roman" w:hAnsi="Times New Roman" w:cs="Times New Roman"/>
          <w:sz w:val="24"/>
          <w:szCs w:val="24"/>
          <w:lang w:val="pl-PL"/>
        </w:rPr>
      </w:pPr>
      <m:oMath>
        <m:sSub>
          <m:sSubPr>
            <m:ctrlPr>
              <w:rPr>
                <w:rFonts w:ascii="Cambria Math" w:hAnsi="Cambria Math" w:cs="Times New Roman"/>
                <w:i/>
                <w:sz w:val="24"/>
                <w:szCs w:val="24"/>
                <w:lang w:val="pl-PL"/>
              </w:rPr>
            </m:ctrlPr>
          </m:sSubPr>
          <m:e>
            <m:r>
              <w:rPr>
                <w:rFonts w:ascii="Cambria Math" w:hAnsi="Cambria Math" w:cs="Times New Roman"/>
                <w:sz w:val="24"/>
                <w:szCs w:val="24"/>
                <w:lang w:val="pl-PL"/>
              </w:rPr>
              <m:t>Y</m:t>
            </m:r>
          </m:e>
          <m:sub>
            <m:r>
              <w:rPr>
                <w:rFonts w:ascii="Cambria Math" w:hAnsi="Cambria Math" w:cs="Times New Roman"/>
                <w:sz w:val="24"/>
                <w:szCs w:val="24"/>
                <w:lang w:val="pl-PL"/>
              </w:rPr>
              <m:t>it</m:t>
            </m:r>
          </m:sub>
        </m:sSub>
        <m:r>
          <w:rPr>
            <w:rFonts w:ascii="Cambria Math" w:hAnsi="Cambria Math" w:cs="Times New Roman"/>
            <w:sz w:val="24"/>
            <w:szCs w:val="24"/>
            <w:lang w:val="pl-PL"/>
          </w:rPr>
          <m:t>=</m:t>
        </m:r>
        <m:sSub>
          <m:sSubPr>
            <m:ctrlPr>
              <w:rPr>
                <w:rFonts w:ascii="Cambria Math" w:hAnsi="Cambria Math" w:cs="Times New Roman"/>
                <w:i/>
                <w:sz w:val="24"/>
                <w:szCs w:val="24"/>
                <w:lang w:val="pl-PL"/>
              </w:rPr>
            </m:ctrlPr>
          </m:sSubPr>
          <m:e>
            <m:r>
              <w:rPr>
                <w:rFonts w:ascii="Cambria Math" w:hAnsi="Cambria Math" w:cs="Times New Roman"/>
                <w:sz w:val="24"/>
                <w:szCs w:val="24"/>
                <w:lang w:val="pl-PL"/>
              </w:rPr>
              <m:t>β</m:t>
            </m:r>
          </m:e>
          <m:sub>
            <m:r>
              <w:rPr>
                <w:rFonts w:ascii="Cambria Math" w:hAnsi="Cambria Math" w:cs="Times New Roman"/>
                <w:sz w:val="24"/>
                <w:szCs w:val="24"/>
                <w:lang w:val="pl-PL"/>
              </w:rPr>
              <m:t>0</m:t>
            </m:r>
          </m:sub>
        </m:sSub>
        <m:r>
          <w:rPr>
            <w:rFonts w:ascii="Cambria Math" w:hAnsi="Cambria Math" w:cs="Times New Roman"/>
            <w:sz w:val="24"/>
            <w:szCs w:val="24"/>
            <w:lang w:val="pl-PL"/>
          </w:rPr>
          <m:t xml:space="preserve">+ </m:t>
        </m:r>
        <m:sSub>
          <m:sSubPr>
            <m:ctrlPr>
              <w:rPr>
                <w:rFonts w:ascii="Cambria Math" w:hAnsi="Cambria Math" w:cs="Times New Roman"/>
                <w:i/>
                <w:sz w:val="24"/>
                <w:szCs w:val="24"/>
                <w:lang w:val="pl-PL"/>
              </w:rPr>
            </m:ctrlPr>
          </m:sSubPr>
          <m:e>
            <m:nary>
              <m:naryPr>
                <m:chr m:val="∑"/>
                <m:limLoc m:val="undOvr"/>
                <m:supHide m:val="1"/>
                <m:ctrlPr>
                  <w:rPr>
                    <w:rFonts w:ascii="Cambria Math" w:hAnsi="Cambria Math" w:cs="Times New Roman"/>
                    <w:i/>
                    <w:sz w:val="24"/>
                    <w:szCs w:val="24"/>
                    <w:lang w:val="pl-PL"/>
                  </w:rPr>
                </m:ctrlPr>
              </m:naryPr>
              <m:sub>
                <m:r>
                  <w:rPr>
                    <w:rFonts w:ascii="Cambria Math" w:hAnsi="Cambria Math" w:cs="Times New Roman"/>
                    <w:sz w:val="24"/>
                    <w:szCs w:val="24"/>
                    <w:lang w:val="pl-PL"/>
                  </w:rPr>
                  <m:t>j</m:t>
                </m:r>
              </m:sub>
              <m:sup/>
              <m:e>
                <m:r>
                  <w:rPr>
                    <w:rFonts w:ascii="Cambria Math" w:hAnsi="Cambria Math" w:cs="Times New Roman"/>
                    <w:sz w:val="24"/>
                    <w:szCs w:val="24"/>
                    <w:lang w:val="pl-PL"/>
                  </w:rPr>
                  <m:t xml:space="preserve"> </m:t>
                </m:r>
                <m:sSub>
                  <m:sSubPr>
                    <m:ctrlPr>
                      <w:rPr>
                        <w:rFonts w:ascii="Cambria Math" w:hAnsi="Cambria Math" w:cs="Times New Roman"/>
                        <w:i/>
                        <w:sz w:val="24"/>
                        <w:szCs w:val="24"/>
                        <w:lang w:val="pl-PL"/>
                      </w:rPr>
                    </m:ctrlPr>
                  </m:sSubPr>
                  <m:e>
                    <m:r>
                      <w:rPr>
                        <w:rFonts w:ascii="Cambria Math" w:hAnsi="Cambria Math" w:cs="Times New Roman"/>
                        <w:sz w:val="24"/>
                        <w:szCs w:val="24"/>
                        <w:lang w:val="pl-PL"/>
                      </w:rPr>
                      <m:t>β</m:t>
                    </m:r>
                  </m:e>
                  <m:sub>
                    <m:r>
                      <w:rPr>
                        <w:rFonts w:ascii="Cambria Math" w:hAnsi="Cambria Math" w:cs="Times New Roman"/>
                        <w:sz w:val="24"/>
                        <w:szCs w:val="24"/>
                        <w:lang w:val="pl-PL"/>
                      </w:rPr>
                      <m:t>1j</m:t>
                    </m:r>
                  </m:sub>
                </m:sSub>
                <m:sSub>
                  <m:sSubPr>
                    <m:ctrlPr>
                      <w:rPr>
                        <w:rFonts w:ascii="Cambria Math" w:hAnsi="Cambria Math" w:cs="Times New Roman"/>
                        <w:i/>
                        <w:sz w:val="24"/>
                        <w:szCs w:val="24"/>
                        <w:lang w:val="pl-PL"/>
                      </w:rPr>
                    </m:ctrlPr>
                  </m:sSubPr>
                  <m:e>
                    <m:r>
                      <w:rPr>
                        <w:rFonts w:ascii="Cambria Math" w:hAnsi="Cambria Math" w:cs="Times New Roman"/>
                        <w:sz w:val="24"/>
                        <w:szCs w:val="24"/>
                        <w:lang w:val="pl-PL"/>
                      </w:rPr>
                      <m:t>GF</m:t>
                    </m:r>
                  </m:e>
                  <m:sub>
                    <m:r>
                      <w:rPr>
                        <w:rFonts w:ascii="Cambria Math" w:hAnsi="Cambria Math" w:cs="Times New Roman"/>
                        <w:sz w:val="24"/>
                        <w:szCs w:val="24"/>
                        <w:lang w:val="pl-PL"/>
                      </w:rPr>
                      <m:t>jit</m:t>
                    </m:r>
                  </m:sub>
                </m:sSub>
                <m:r>
                  <w:rPr>
                    <w:rFonts w:ascii="Cambria Math" w:hAnsi="Cambria Math" w:cs="Times New Roman"/>
                    <w:sz w:val="24"/>
                    <w:szCs w:val="24"/>
                    <w:lang w:val="pl-PL"/>
                  </w:rPr>
                  <m:t xml:space="preserve"> </m:t>
                </m:r>
              </m:e>
            </m:nary>
            <m:r>
              <w:rPr>
                <w:rFonts w:ascii="Cambria Math" w:hAnsi="Cambria Math" w:cs="Times New Roman"/>
                <w:sz w:val="24"/>
                <w:szCs w:val="24"/>
                <w:lang w:val="pl-PL"/>
              </w:rPr>
              <m:t>+β</m:t>
            </m:r>
          </m:e>
          <m:sub>
            <m:r>
              <w:rPr>
                <w:rFonts w:ascii="Cambria Math" w:hAnsi="Cambria Math" w:cs="Times New Roman"/>
                <w:sz w:val="24"/>
                <w:szCs w:val="24"/>
                <w:lang w:val="pl-PL"/>
              </w:rPr>
              <m:t>2</m:t>
            </m:r>
          </m:sub>
        </m:sSub>
        <m:r>
          <w:rPr>
            <w:rFonts w:ascii="Cambria Math" w:hAnsi="Cambria Math" w:cs="Times New Roman"/>
            <w:sz w:val="24"/>
            <w:szCs w:val="24"/>
            <w:lang w:val="pl-PL"/>
          </w:rPr>
          <m:t xml:space="preserve"> </m:t>
        </m:r>
        <m:sSub>
          <m:sSubPr>
            <m:ctrlPr>
              <w:rPr>
                <w:rFonts w:ascii="Cambria Math" w:hAnsi="Cambria Math" w:cs="Times New Roman"/>
                <w:i/>
                <w:sz w:val="24"/>
                <w:szCs w:val="24"/>
                <w:lang w:val="pl-PL"/>
              </w:rPr>
            </m:ctrlPr>
          </m:sSubPr>
          <m:e>
            <m:r>
              <w:rPr>
                <w:rFonts w:ascii="Cambria Math" w:hAnsi="Cambria Math" w:cs="Times New Roman"/>
                <w:sz w:val="24"/>
                <w:szCs w:val="24"/>
                <w:lang w:val="pl-PL"/>
              </w:rPr>
              <m:t>LPKB</m:t>
            </m:r>
          </m:e>
          <m:sub>
            <m:r>
              <w:rPr>
                <w:rFonts w:ascii="Cambria Math" w:hAnsi="Cambria Math" w:cs="Times New Roman"/>
                <w:sz w:val="24"/>
                <w:szCs w:val="24"/>
                <w:lang w:val="pl-PL"/>
              </w:rPr>
              <m:t>it</m:t>
            </m:r>
          </m:sub>
        </m:sSub>
        <m:r>
          <w:rPr>
            <w:rFonts w:ascii="Cambria Math" w:hAnsi="Cambria Math" w:cs="Times New Roman"/>
            <w:sz w:val="24"/>
            <w:szCs w:val="24"/>
            <w:lang w:val="pl-PL"/>
          </w:rPr>
          <m:t xml:space="preserve">+ </m:t>
        </m:r>
        <m:sSub>
          <m:sSubPr>
            <m:ctrlPr>
              <w:rPr>
                <w:rFonts w:ascii="Cambria Math" w:hAnsi="Cambria Math" w:cs="Times New Roman"/>
                <w:i/>
                <w:sz w:val="24"/>
                <w:szCs w:val="24"/>
                <w:lang w:val="pl-PL"/>
              </w:rPr>
            </m:ctrlPr>
          </m:sSubPr>
          <m:e>
            <m:r>
              <w:rPr>
                <w:rFonts w:ascii="Cambria Math" w:hAnsi="Cambria Math" w:cs="Times New Roman"/>
                <w:sz w:val="24"/>
                <w:szCs w:val="24"/>
                <w:lang w:val="pl-PL"/>
              </w:rPr>
              <m:t>ε</m:t>
            </m:r>
          </m:e>
          <m:sub/>
        </m:sSub>
      </m:oMath>
      <w:r w:rsidR="00820759">
        <w:rPr>
          <w:rFonts w:ascii="Times New Roman" w:eastAsiaTheme="minorEastAsia" w:hAnsi="Times New Roman" w:cs="Times New Roman"/>
          <w:sz w:val="24"/>
          <w:szCs w:val="24"/>
          <w:lang w:val="pl-PL"/>
        </w:rPr>
        <w:t xml:space="preserve">                                                        (2)</w:t>
      </w:r>
    </w:p>
    <w:p w:rsidR="00504B83" w:rsidRDefault="00504B83" w:rsidP="00D30F85">
      <w:pPr>
        <w:spacing w:line="360" w:lineRule="auto"/>
        <w:jc w:val="both"/>
        <w:rPr>
          <w:rFonts w:ascii="Times New Roman" w:hAnsi="Times New Roman" w:cs="Times New Roman"/>
          <w:sz w:val="24"/>
          <w:szCs w:val="24"/>
          <w:lang w:val="pl-PL"/>
        </w:rPr>
      </w:pPr>
      <w:r w:rsidRPr="00C26615">
        <w:rPr>
          <w:rFonts w:ascii="Times New Roman" w:hAnsi="Times New Roman" w:cs="Times New Roman"/>
          <w:sz w:val="20"/>
          <w:szCs w:val="24"/>
          <w:lang w:val="pl-PL"/>
        </w:rPr>
        <w:t xml:space="preserve">gdzie </w:t>
      </w:r>
      <w:proofErr w:type="spellStart"/>
      <w:r w:rsidRPr="00C26615">
        <w:rPr>
          <w:rFonts w:ascii="Times New Roman" w:hAnsi="Times New Roman" w:cs="Times New Roman"/>
          <w:sz w:val="20"/>
          <w:szCs w:val="24"/>
          <w:lang w:val="pl-PL"/>
        </w:rPr>
        <w:t>Yit</w:t>
      </w:r>
      <w:proofErr w:type="spellEnd"/>
      <w:r w:rsidRPr="00C26615">
        <w:rPr>
          <w:rFonts w:ascii="Times New Roman" w:hAnsi="Times New Roman" w:cs="Times New Roman"/>
          <w:sz w:val="20"/>
          <w:szCs w:val="24"/>
          <w:lang w:val="pl-PL"/>
        </w:rPr>
        <w:t xml:space="preserve"> oznacza albo stopę wzrostu PKB (</w:t>
      </w:r>
      <w:proofErr w:type="spellStart"/>
      <w:r w:rsidRPr="00C26615">
        <w:rPr>
          <w:rFonts w:ascii="Times New Roman" w:hAnsi="Times New Roman" w:cs="Times New Roman"/>
          <w:sz w:val="20"/>
          <w:szCs w:val="24"/>
          <w:lang w:val="pl-PL"/>
        </w:rPr>
        <w:t>dPKB</w:t>
      </w:r>
      <w:proofErr w:type="spellEnd"/>
      <w:r w:rsidRPr="00C26615">
        <w:rPr>
          <w:rFonts w:ascii="Times New Roman" w:hAnsi="Times New Roman" w:cs="Times New Roman"/>
          <w:sz w:val="20"/>
          <w:szCs w:val="24"/>
          <w:lang w:val="pl-PL"/>
        </w:rPr>
        <w:t xml:space="preserve">), albo indeks </w:t>
      </w:r>
      <w:proofErr w:type="spellStart"/>
      <w:r w:rsidRPr="00C26615">
        <w:rPr>
          <w:rFonts w:ascii="Times New Roman" w:hAnsi="Times New Roman" w:cs="Times New Roman"/>
          <w:sz w:val="20"/>
          <w:szCs w:val="24"/>
          <w:lang w:val="pl-PL"/>
        </w:rPr>
        <w:t>Gini</w:t>
      </w:r>
      <w:proofErr w:type="spellEnd"/>
      <w:r w:rsidRPr="00C26615">
        <w:rPr>
          <w:rFonts w:ascii="Times New Roman" w:hAnsi="Times New Roman" w:cs="Times New Roman"/>
          <w:sz w:val="20"/>
          <w:szCs w:val="24"/>
          <w:lang w:val="pl-PL"/>
        </w:rPr>
        <w:t xml:space="preserve"> (GINI), </w:t>
      </w:r>
      <w:proofErr w:type="spellStart"/>
      <w:r w:rsidRPr="00C26615">
        <w:rPr>
          <w:rFonts w:ascii="Times New Roman" w:hAnsi="Times New Roman" w:cs="Times New Roman"/>
          <w:sz w:val="20"/>
          <w:szCs w:val="24"/>
          <w:lang w:val="pl-PL"/>
        </w:rPr>
        <w:t>GFj</w:t>
      </w:r>
      <w:proofErr w:type="spellEnd"/>
      <w:r w:rsidRPr="00C26615">
        <w:rPr>
          <w:rFonts w:ascii="Times New Roman" w:hAnsi="Times New Roman" w:cs="Times New Roman"/>
          <w:sz w:val="20"/>
          <w:szCs w:val="24"/>
          <w:lang w:val="pl-PL"/>
        </w:rPr>
        <w:t xml:space="preserve"> wydatki wg kategorii COFOG (j=1, 10) wyrażone w </w:t>
      </w:r>
      <w:r w:rsidR="00C26615">
        <w:rPr>
          <w:rFonts w:ascii="Times New Roman" w:hAnsi="Times New Roman" w:cs="Times New Roman"/>
          <w:sz w:val="20"/>
          <w:szCs w:val="24"/>
          <w:lang w:val="pl-PL"/>
        </w:rPr>
        <w:t>relacji do</w:t>
      </w:r>
      <w:r w:rsidRPr="00C26615">
        <w:rPr>
          <w:rFonts w:ascii="Times New Roman" w:hAnsi="Times New Roman" w:cs="Times New Roman"/>
          <w:sz w:val="20"/>
          <w:szCs w:val="24"/>
          <w:lang w:val="pl-PL"/>
        </w:rPr>
        <w:t xml:space="preserve"> PKB, </w:t>
      </w:r>
      <w:proofErr w:type="spellStart"/>
      <w:r w:rsidRPr="00C26615">
        <w:rPr>
          <w:rFonts w:ascii="Times New Roman" w:hAnsi="Times New Roman" w:cs="Times New Roman"/>
          <w:sz w:val="20"/>
          <w:szCs w:val="24"/>
          <w:lang w:val="pl-PL"/>
        </w:rPr>
        <w:t>uGFj</w:t>
      </w:r>
      <w:proofErr w:type="spellEnd"/>
      <w:r w:rsidRPr="00C26615">
        <w:rPr>
          <w:rFonts w:ascii="Times New Roman" w:hAnsi="Times New Roman" w:cs="Times New Roman"/>
          <w:sz w:val="20"/>
          <w:szCs w:val="24"/>
          <w:lang w:val="pl-PL"/>
        </w:rPr>
        <w:t xml:space="preserve"> udział wydatków z kategorii </w:t>
      </w:r>
      <w:proofErr w:type="spellStart"/>
      <w:r w:rsidRPr="00C26615">
        <w:rPr>
          <w:rFonts w:ascii="Times New Roman" w:hAnsi="Times New Roman" w:cs="Times New Roman"/>
          <w:sz w:val="20"/>
          <w:szCs w:val="24"/>
          <w:lang w:val="pl-PL"/>
        </w:rPr>
        <w:t>GFj</w:t>
      </w:r>
      <w:proofErr w:type="spellEnd"/>
      <w:r w:rsidRPr="00C26615">
        <w:rPr>
          <w:rFonts w:ascii="Times New Roman" w:hAnsi="Times New Roman" w:cs="Times New Roman"/>
          <w:sz w:val="20"/>
          <w:szCs w:val="24"/>
          <w:lang w:val="pl-PL"/>
        </w:rPr>
        <w:t xml:space="preserve"> w wydatkach publicznych ogółem (</w:t>
      </w:r>
      <w:proofErr w:type="spellStart"/>
      <w:r w:rsidRPr="00C26615">
        <w:rPr>
          <w:rFonts w:ascii="Times New Roman" w:hAnsi="Times New Roman" w:cs="Times New Roman"/>
          <w:sz w:val="20"/>
          <w:szCs w:val="24"/>
          <w:lang w:val="pl-PL"/>
        </w:rPr>
        <w:t>uGFj</w:t>
      </w:r>
      <w:proofErr w:type="spellEnd"/>
      <w:r w:rsidRPr="00C26615">
        <w:rPr>
          <w:rFonts w:ascii="Times New Roman" w:hAnsi="Times New Roman" w:cs="Times New Roman"/>
          <w:sz w:val="20"/>
          <w:szCs w:val="24"/>
          <w:lang w:val="pl-PL"/>
        </w:rPr>
        <w:t>=</w:t>
      </w:r>
      <w:proofErr w:type="spellStart"/>
      <w:r w:rsidRPr="00C26615">
        <w:rPr>
          <w:rFonts w:ascii="Times New Roman" w:hAnsi="Times New Roman" w:cs="Times New Roman"/>
          <w:sz w:val="20"/>
          <w:szCs w:val="24"/>
          <w:lang w:val="pl-PL"/>
        </w:rPr>
        <w:t>GFj</w:t>
      </w:r>
      <w:proofErr w:type="spellEnd"/>
      <w:r w:rsidRPr="00C26615">
        <w:rPr>
          <w:rFonts w:ascii="Times New Roman" w:hAnsi="Times New Roman" w:cs="Times New Roman"/>
          <w:sz w:val="20"/>
          <w:szCs w:val="24"/>
          <w:lang w:val="pl-PL"/>
        </w:rPr>
        <w:t xml:space="preserve">/GF), GF </w:t>
      </w:r>
      <w:r w:rsidRPr="00C26615">
        <w:rPr>
          <w:rFonts w:ascii="Times New Roman" w:hAnsi="Times New Roman" w:cs="Times New Roman"/>
          <w:sz w:val="20"/>
          <w:szCs w:val="20"/>
          <w:lang w:val="pl-PL"/>
        </w:rPr>
        <w:t>poziom wydatków publicznych ogółem w relacji do PKB, LPKB logarytm PKB per capita, i oznacza kraj, t okres</w:t>
      </w:r>
      <w:r w:rsidR="00C26615">
        <w:rPr>
          <w:rFonts w:ascii="Times New Roman" w:hAnsi="Times New Roman" w:cs="Times New Roman"/>
          <w:sz w:val="20"/>
          <w:szCs w:val="20"/>
          <w:lang w:val="pl-PL"/>
        </w:rPr>
        <w:t xml:space="preserve">, </w:t>
      </w:r>
      <w:r w:rsidR="00C26615" w:rsidRPr="00CE3C2C">
        <w:rPr>
          <w:rFonts w:ascii="Symbol" w:hAnsi="Symbol" w:cs="Times New Roman"/>
          <w:sz w:val="20"/>
          <w:szCs w:val="20"/>
          <w:lang w:val="pl-PL"/>
        </w:rPr>
        <w:t></w:t>
      </w:r>
      <w:r w:rsidR="00C26615">
        <w:rPr>
          <w:rFonts w:ascii="Times New Roman" w:hAnsi="Times New Roman" w:cs="Times New Roman"/>
          <w:sz w:val="20"/>
          <w:szCs w:val="20"/>
          <w:lang w:val="pl-PL"/>
        </w:rPr>
        <w:t xml:space="preserve"> </w:t>
      </w:r>
      <w:r w:rsidR="00A23EDF">
        <w:rPr>
          <w:rFonts w:ascii="Times New Roman" w:hAnsi="Times New Roman" w:cs="Times New Roman"/>
          <w:sz w:val="20"/>
          <w:szCs w:val="20"/>
          <w:lang w:val="pl-PL"/>
        </w:rPr>
        <w:t>składnik losowy</w:t>
      </w:r>
      <w:r w:rsidRPr="00C26615">
        <w:rPr>
          <w:rFonts w:ascii="Times New Roman" w:hAnsi="Times New Roman" w:cs="Times New Roman"/>
          <w:sz w:val="20"/>
          <w:szCs w:val="20"/>
          <w:lang w:val="pl-PL"/>
        </w:rPr>
        <w:t>.</w:t>
      </w:r>
      <w:r w:rsidRPr="00C26615">
        <w:rPr>
          <w:rFonts w:ascii="Times New Roman" w:hAnsi="Times New Roman" w:cs="Times New Roman"/>
          <w:sz w:val="24"/>
          <w:szCs w:val="24"/>
          <w:lang w:val="pl-PL"/>
        </w:rPr>
        <w:t xml:space="preserve"> </w:t>
      </w:r>
    </w:p>
    <w:p w:rsidR="00F11DF2" w:rsidRDefault="0036268B" w:rsidP="002C1118">
      <w:pPr>
        <w:spacing w:after="0"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Powyższe modele są </w:t>
      </w:r>
      <w:r w:rsidR="00CE3C2C">
        <w:rPr>
          <w:rFonts w:ascii="Times New Roman" w:hAnsi="Times New Roman" w:cs="Times New Roman"/>
          <w:sz w:val="24"/>
          <w:szCs w:val="24"/>
          <w:lang w:val="pl-PL"/>
        </w:rPr>
        <w:t>uproszczone</w:t>
      </w:r>
      <w:r>
        <w:rPr>
          <w:rFonts w:ascii="Times New Roman" w:hAnsi="Times New Roman" w:cs="Times New Roman"/>
          <w:sz w:val="24"/>
          <w:szCs w:val="24"/>
          <w:lang w:val="pl-PL"/>
        </w:rPr>
        <w:t xml:space="preserve"> i nie uwzględniają wielu czynników i złożonych mechanizmów kształtujących poziom zróżnicowania dochodów, czy też stopę wzrostu </w:t>
      </w:r>
      <w:r>
        <w:rPr>
          <w:rFonts w:ascii="Times New Roman" w:hAnsi="Times New Roman" w:cs="Times New Roman"/>
          <w:sz w:val="24"/>
          <w:szCs w:val="24"/>
          <w:lang w:val="pl-PL"/>
        </w:rPr>
        <w:lastRenderedPageBreak/>
        <w:t>gospodarczego, ale też celem niniejszej analizy nie jest objaśnienie ich zmienności, a jedynie uchwycenie istotności wpływu jaki mogą na nie wywierać określone kategorie wydatków publicznych</w:t>
      </w:r>
      <w:r w:rsidR="00605F3A">
        <w:rPr>
          <w:rFonts w:ascii="Times New Roman" w:hAnsi="Times New Roman" w:cs="Times New Roman"/>
          <w:sz w:val="24"/>
          <w:szCs w:val="24"/>
          <w:lang w:val="pl-PL"/>
        </w:rPr>
        <w:t>.</w:t>
      </w:r>
      <w:r>
        <w:rPr>
          <w:rFonts w:ascii="Times New Roman" w:hAnsi="Times New Roman" w:cs="Times New Roman"/>
          <w:sz w:val="24"/>
          <w:szCs w:val="24"/>
          <w:lang w:val="pl-PL"/>
        </w:rPr>
        <w:t xml:space="preserve"> </w:t>
      </w:r>
      <w:r w:rsidR="004E5895">
        <w:rPr>
          <w:rFonts w:ascii="Times New Roman" w:hAnsi="Times New Roman" w:cs="Times New Roman"/>
          <w:sz w:val="24"/>
          <w:szCs w:val="24"/>
          <w:lang w:val="pl-PL"/>
        </w:rPr>
        <w:t xml:space="preserve"> </w:t>
      </w:r>
      <w:r w:rsidR="008453A1">
        <w:rPr>
          <w:rFonts w:ascii="Times New Roman" w:hAnsi="Times New Roman" w:cs="Times New Roman"/>
          <w:sz w:val="24"/>
          <w:szCs w:val="24"/>
          <w:lang w:val="pl-PL"/>
        </w:rPr>
        <w:t xml:space="preserve">Aby uwzględnić opóźnienia czasowe, w przypadku </w:t>
      </w:r>
      <w:r w:rsidR="004E5895">
        <w:rPr>
          <w:rFonts w:ascii="Times New Roman" w:hAnsi="Times New Roman" w:cs="Times New Roman"/>
          <w:sz w:val="24"/>
          <w:szCs w:val="24"/>
          <w:lang w:val="pl-PL"/>
        </w:rPr>
        <w:t xml:space="preserve"> </w:t>
      </w:r>
      <w:r w:rsidR="008453A1">
        <w:rPr>
          <w:rFonts w:ascii="Times New Roman" w:hAnsi="Times New Roman" w:cs="Times New Roman"/>
          <w:sz w:val="24"/>
          <w:szCs w:val="24"/>
          <w:lang w:val="pl-PL"/>
        </w:rPr>
        <w:t xml:space="preserve">indeksu </w:t>
      </w:r>
      <w:proofErr w:type="spellStart"/>
      <w:r w:rsidR="008453A1">
        <w:rPr>
          <w:rFonts w:ascii="Times New Roman" w:hAnsi="Times New Roman" w:cs="Times New Roman"/>
          <w:sz w:val="24"/>
          <w:szCs w:val="24"/>
          <w:lang w:val="pl-PL"/>
        </w:rPr>
        <w:t>Gini</w:t>
      </w:r>
      <w:proofErr w:type="spellEnd"/>
      <w:r w:rsidR="008453A1">
        <w:rPr>
          <w:rFonts w:ascii="Times New Roman" w:hAnsi="Times New Roman" w:cs="Times New Roman"/>
          <w:sz w:val="24"/>
          <w:szCs w:val="24"/>
          <w:lang w:val="pl-PL"/>
        </w:rPr>
        <w:t xml:space="preserve"> </w:t>
      </w:r>
      <w:r w:rsidR="004E5895">
        <w:rPr>
          <w:rFonts w:ascii="Times New Roman" w:hAnsi="Times New Roman" w:cs="Times New Roman"/>
          <w:sz w:val="24"/>
          <w:szCs w:val="24"/>
          <w:lang w:val="pl-PL"/>
        </w:rPr>
        <w:t>d</w:t>
      </w:r>
      <w:r w:rsidR="00C26615">
        <w:rPr>
          <w:rFonts w:ascii="Times New Roman" w:hAnsi="Times New Roman" w:cs="Times New Roman"/>
          <w:sz w:val="24"/>
          <w:szCs w:val="24"/>
          <w:lang w:val="pl-PL"/>
        </w:rPr>
        <w:t xml:space="preserve">ane </w:t>
      </w:r>
      <w:r w:rsidR="004E5895">
        <w:rPr>
          <w:rFonts w:ascii="Times New Roman" w:hAnsi="Times New Roman" w:cs="Times New Roman"/>
          <w:sz w:val="24"/>
          <w:szCs w:val="24"/>
          <w:lang w:val="pl-PL"/>
        </w:rPr>
        <w:t>dotyczące wydatków zostały uśrednione w trzech podokresach, natomiast wartość</w:t>
      </w:r>
      <w:r w:rsidR="008453A1">
        <w:rPr>
          <w:rFonts w:ascii="Times New Roman" w:hAnsi="Times New Roman" w:cs="Times New Roman"/>
          <w:sz w:val="24"/>
          <w:szCs w:val="24"/>
          <w:lang w:val="pl-PL"/>
        </w:rPr>
        <w:t xml:space="preserve"> indeksu</w:t>
      </w:r>
      <w:r w:rsidR="004E5895">
        <w:rPr>
          <w:rFonts w:ascii="Times New Roman" w:hAnsi="Times New Roman" w:cs="Times New Roman"/>
          <w:sz w:val="24"/>
          <w:szCs w:val="24"/>
          <w:lang w:val="pl-PL"/>
        </w:rPr>
        <w:t>, przyjęto na koniec tych podokresów (w celu wygładzeni</w:t>
      </w:r>
      <w:r w:rsidR="00CE3C2C">
        <w:rPr>
          <w:rFonts w:ascii="Times New Roman" w:hAnsi="Times New Roman" w:cs="Times New Roman"/>
          <w:sz w:val="24"/>
          <w:szCs w:val="24"/>
          <w:lang w:val="pl-PL"/>
        </w:rPr>
        <w:t>a</w:t>
      </w:r>
      <w:r w:rsidR="004E5895">
        <w:rPr>
          <w:rFonts w:ascii="Times New Roman" w:hAnsi="Times New Roman" w:cs="Times New Roman"/>
          <w:sz w:val="24"/>
          <w:szCs w:val="24"/>
          <w:lang w:val="pl-PL"/>
        </w:rPr>
        <w:t xml:space="preserve"> danych przyjęto średnią z dwóch sąsiednich lat). Ponieważ </w:t>
      </w:r>
      <w:r w:rsidR="008453A1">
        <w:rPr>
          <w:rFonts w:ascii="Times New Roman" w:hAnsi="Times New Roman" w:cs="Times New Roman"/>
          <w:sz w:val="24"/>
          <w:szCs w:val="24"/>
          <w:lang w:val="pl-PL"/>
        </w:rPr>
        <w:t xml:space="preserve">porównywalne </w:t>
      </w:r>
      <w:r w:rsidR="004E5895">
        <w:rPr>
          <w:rFonts w:ascii="Times New Roman" w:hAnsi="Times New Roman" w:cs="Times New Roman"/>
          <w:sz w:val="24"/>
          <w:szCs w:val="24"/>
          <w:lang w:val="pl-PL"/>
        </w:rPr>
        <w:t xml:space="preserve">dane o indeksie </w:t>
      </w:r>
      <w:proofErr w:type="spellStart"/>
      <w:r w:rsidR="004E5895">
        <w:rPr>
          <w:rFonts w:ascii="Times New Roman" w:hAnsi="Times New Roman" w:cs="Times New Roman"/>
          <w:sz w:val="24"/>
          <w:szCs w:val="24"/>
          <w:lang w:val="pl-PL"/>
        </w:rPr>
        <w:t>Gini</w:t>
      </w:r>
      <w:proofErr w:type="spellEnd"/>
      <w:r w:rsidR="004E5895">
        <w:rPr>
          <w:rFonts w:ascii="Times New Roman" w:hAnsi="Times New Roman" w:cs="Times New Roman"/>
          <w:sz w:val="24"/>
          <w:szCs w:val="24"/>
          <w:lang w:val="pl-PL"/>
        </w:rPr>
        <w:t xml:space="preserve"> dostępne są dopiero od 2006 roku, przyjęto </w:t>
      </w:r>
      <w:r w:rsidR="00CE3C2C">
        <w:rPr>
          <w:rFonts w:ascii="Times New Roman" w:hAnsi="Times New Roman" w:cs="Times New Roman"/>
          <w:sz w:val="24"/>
          <w:szCs w:val="24"/>
          <w:lang w:val="pl-PL"/>
        </w:rPr>
        <w:t xml:space="preserve">dla wydatków </w:t>
      </w:r>
      <w:r w:rsidR="004E5895">
        <w:rPr>
          <w:rFonts w:ascii="Times New Roman" w:hAnsi="Times New Roman" w:cs="Times New Roman"/>
          <w:sz w:val="24"/>
          <w:szCs w:val="24"/>
          <w:lang w:val="pl-PL"/>
        </w:rPr>
        <w:t xml:space="preserve">następujące podokresy: 2002-2006 (indeks </w:t>
      </w:r>
      <w:proofErr w:type="spellStart"/>
      <w:r w:rsidR="004E5895">
        <w:rPr>
          <w:rFonts w:ascii="Times New Roman" w:hAnsi="Times New Roman" w:cs="Times New Roman"/>
          <w:sz w:val="24"/>
          <w:szCs w:val="24"/>
          <w:lang w:val="pl-PL"/>
        </w:rPr>
        <w:t>Gini</w:t>
      </w:r>
      <w:proofErr w:type="spellEnd"/>
      <w:r w:rsidR="004E5895">
        <w:rPr>
          <w:rFonts w:ascii="Times New Roman" w:hAnsi="Times New Roman" w:cs="Times New Roman"/>
          <w:sz w:val="24"/>
          <w:szCs w:val="24"/>
          <w:lang w:val="pl-PL"/>
        </w:rPr>
        <w:t xml:space="preserve"> 2006-7), 2007-2010 (indeks </w:t>
      </w:r>
      <w:proofErr w:type="spellStart"/>
      <w:r w:rsidR="004E5895">
        <w:rPr>
          <w:rFonts w:ascii="Times New Roman" w:hAnsi="Times New Roman" w:cs="Times New Roman"/>
          <w:sz w:val="24"/>
          <w:szCs w:val="24"/>
          <w:lang w:val="pl-PL"/>
        </w:rPr>
        <w:t>Gini</w:t>
      </w:r>
      <w:proofErr w:type="spellEnd"/>
      <w:r w:rsidR="004E5895">
        <w:rPr>
          <w:rFonts w:ascii="Times New Roman" w:hAnsi="Times New Roman" w:cs="Times New Roman"/>
          <w:sz w:val="24"/>
          <w:szCs w:val="24"/>
          <w:lang w:val="pl-PL"/>
        </w:rPr>
        <w:t xml:space="preserve"> 2010-11) oraz 2011-2014 (indeks </w:t>
      </w:r>
      <w:proofErr w:type="spellStart"/>
      <w:r w:rsidR="004E5895">
        <w:rPr>
          <w:rFonts w:ascii="Times New Roman" w:hAnsi="Times New Roman" w:cs="Times New Roman"/>
          <w:sz w:val="24"/>
          <w:szCs w:val="24"/>
          <w:lang w:val="pl-PL"/>
        </w:rPr>
        <w:t>Gini</w:t>
      </w:r>
      <w:proofErr w:type="spellEnd"/>
      <w:r w:rsidR="004E5895">
        <w:rPr>
          <w:rFonts w:ascii="Times New Roman" w:hAnsi="Times New Roman" w:cs="Times New Roman"/>
          <w:sz w:val="24"/>
          <w:szCs w:val="24"/>
          <w:lang w:val="pl-PL"/>
        </w:rPr>
        <w:t xml:space="preserve"> 2014-15). </w:t>
      </w:r>
      <w:r w:rsidR="008453A1">
        <w:rPr>
          <w:rFonts w:ascii="Times New Roman" w:hAnsi="Times New Roman" w:cs="Times New Roman"/>
          <w:sz w:val="24"/>
          <w:szCs w:val="24"/>
          <w:lang w:val="pl-PL"/>
        </w:rPr>
        <w:t>Natomiast w</w:t>
      </w:r>
      <w:r w:rsidR="00D30F85">
        <w:rPr>
          <w:rFonts w:ascii="Times New Roman" w:hAnsi="Times New Roman" w:cs="Times New Roman"/>
          <w:sz w:val="24"/>
          <w:szCs w:val="24"/>
          <w:lang w:val="pl-PL"/>
        </w:rPr>
        <w:t xml:space="preserve"> przypadku </w:t>
      </w:r>
      <w:r w:rsidR="00A23EDF">
        <w:rPr>
          <w:rFonts w:ascii="Times New Roman" w:hAnsi="Times New Roman" w:cs="Times New Roman"/>
          <w:sz w:val="24"/>
          <w:szCs w:val="24"/>
          <w:lang w:val="pl-PL"/>
        </w:rPr>
        <w:t>modelu PKB, zmienną objaśnianą wyliczono jako średnioroczną stopę wzrostu w trzyletnim okresie następującym po dokonaniu wydatków:</w:t>
      </w:r>
      <w:r w:rsidR="008453A1">
        <w:rPr>
          <w:rFonts w:ascii="Times New Roman" w:hAnsi="Times New Roman" w:cs="Times New Roman"/>
          <w:sz w:val="24"/>
          <w:szCs w:val="24"/>
          <w:lang w:val="pl-PL"/>
        </w:rPr>
        <w:t xml:space="preserve"> </w:t>
      </w:r>
      <w:proofErr w:type="spellStart"/>
      <w:r w:rsidR="00A23EDF" w:rsidRPr="00A23EDF">
        <w:rPr>
          <w:rFonts w:ascii="Times New Roman" w:hAnsi="Times New Roman" w:cs="Times New Roman"/>
          <w:i/>
          <w:sz w:val="24"/>
          <w:szCs w:val="24"/>
          <w:lang w:val="pl-PL"/>
        </w:rPr>
        <w:t>dPKB</w:t>
      </w:r>
      <w:proofErr w:type="spellEnd"/>
      <w:r w:rsidR="00A23EDF" w:rsidRPr="00A23EDF">
        <w:rPr>
          <w:rFonts w:ascii="Times New Roman" w:hAnsi="Times New Roman" w:cs="Times New Roman"/>
          <w:i/>
          <w:sz w:val="24"/>
          <w:szCs w:val="24"/>
          <w:lang w:val="pl-PL"/>
        </w:rPr>
        <w:t>=</w:t>
      </w:r>
      <w:proofErr w:type="spellStart"/>
      <w:r w:rsidR="00A23EDF" w:rsidRPr="00A23EDF">
        <w:rPr>
          <w:rFonts w:ascii="Times New Roman" w:hAnsi="Times New Roman" w:cs="Times New Roman"/>
          <w:i/>
          <w:sz w:val="24"/>
          <w:szCs w:val="24"/>
          <w:lang w:val="pl-PL"/>
        </w:rPr>
        <w:t>ln</w:t>
      </w:r>
      <w:proofErr w:type="spellEnd"/>
      <w:r w:rsidR="00A23EDF" w:rsidRPr="00A23EDF">
        <w:rPr>
          <w:rFonts w:ascii="Times New Roman" w:hAnsi="Times New Roman" w:cs="Times New Roman"/>
          <w:i/>
          <w:sz w:val="24"/>
          <w:szCs w:val="24"/>
          <w:lang w:val="pl-PL"/>
        </w:rPr>
        <w:t>(PKB</w:t>
      </w:r>
      <w:r w:rsidR="00A23EDF" w:rsidRPr="00A23EDF">
        <w:rPr>
          <w:rFonts w:ascii="Times New Roman" w:hAnsi="Times New Roman" w:cs="Times New Roman"/>
          <w:i/>
          <w:sz w:val="24"/>
          <w:szCs w:val="24"/>
          <w:vertAlign w:val="subscript"/>
          <w:lang w:val="pl-PL"/>
        </w:rPr>
        <w:t>t+3</w:t>
      </w:r>
      <w:r w:rsidR="00A23EDF" w:rsidRPr="00A23EDF">
        <w:rPr>
          <w:rFonts w:ascii="Times New Roman" w:hAnsi="Times New Roman" w:cs="Times New Roman"/>
          <w:i/>
          <w:sz w:val="24"/>
          <w:szCs w:val="24"/>
          <w:lang w:val="pl-PL"/>
        </w:rPr>
        <w:t>)-</w:t>
      </w:r>
      <w:proofErr w:type="spellStart"/>
      <w:r w:rsidR="00A23EDF" w:rsidRPr="00A23EDF">
        <w:rPr>
          <w:rFonts w:ascii="Times New Roman" w:hAnsi="Times New Roman" w:cs="Times New Roman"/>
          <w:i/>
          <w:sz w:val="24"/>
          <w:szCs w:val="24"/>
          <w:lang w:val="pl-PL"/>
        </w:rPr>
        <w:t>ln</w:t>
      </w:r>
      <w:proofErr w:type="spellEnd"/>
      <w:r w:rsidR="00A23EDF" w:rsidRPr="00A23EDF">
        <w:rPr>
          <w:rFonts w:ascii="Times New Roman" w:hAnsi="Times New Roman" w:cs="Times New Roman"/>
          <w:i/>
          <w:sz w:val="24"/>
          <w:szCs w:val="24"/>
          <w:lang w:val="pl-PL"/>
        </w:rPr>
        <w:t>(</w:t>
      </w:r>
      <w:proofErr w:type="spellStart"/>
      <w:r w:rsidR="00A23EDF" w:rsidRPr="00A23EDF">
        <w:rPr>
          <w:rFonts w:ascii="Times New Roman" w:hAnsi="Times New Roman" w:cs="Times New Roman"/>
          <w:i/>
          <w:sz w:val="24"/>
          <w:szCs w:val="24"/>
          <w:lang w:val="pl-PL"/>
        </w:rPr>
        <w:t>PKB</w:t>
      </w:r>
      <w:r w:rsidR="00A23EDF" w:rsidRPr="00A23EDF">
        <w:rPr>
          <w:rFonts w:ascii="Times New Roman" w:hAnsi="Times New Roman" w:cs="Times New Roman"/>
          <w:i/>
          <w:sz w:val="24"/>
          <w:szCs w:val="24"/>
          <w:vertAlign w:val="subscript"/>
          <w:lang w:val="pl-PL"/>
        </w:rPr>
        <w:t>t</w:t>
      </w:r>
      <w:proofErr w:type="spellEnd"/>
      <w:r w:rsidR="00A23EDF" w:rsidRPr="00A23EDF">
        <w:rPr>
          <w:rFonts w:ascii="Times New Roman" w:hAnsi="Times New Roman" w:cs="Times New Roman"/>
          <w:i/>
          <w:sz w:val="24"/>
          <w:szCs w:val="24"/>
          <w:lang w:val="pl-PL"/>
        </w:rPr>
        <w:t>))/3</w:t>
      </w:r>
      <w:r w:rsidR="008453A1">
        <w:rPr>
          <w:rFonts w:ascii="Times New Roman" w:hAnsi="Times New Roman" w:cs="Times New Roman"/>
          <w:i/>
          <w:sz w:val="24"/>
          <w:szCs w:val="24"/>
          <w:lang w:val="pl-PL"/>
        </w:rPr>
        <w:t xml:space="preserve">. </w:t>
      </w:r>
      <w:r w:rsidR="00F11DF2">
        <w:rPr>
          <w:rFonts w:ascii="Times New Roman" w:hAnsi="Times New Roman" w:cs="Times New Roman"/>
          <w:sz w:val="24"/>
          <w:szCs w:val="24"/>
          <w:lang w:val="pl-PL"/>
        </w:rPr>
        <w:t xml:space="preserve">Analizując wpływ struktury wydatków na redystrybucję dochodów, do modelu wprowadzono wydatki o charakterze społecznym (wydatki na opiekę socjalną, na ochronę zdrowia, na cele mieszkaniowe), które powinny przyczyniać się do zmniejszania indeksu GINI, a zatem oczekiwano ujemnych </w:t>
      </w:r>
      <w:r w:rsidR="00605F3A">
        <w:rPr>
          <w:rFonts w:ascii="Times New Roman" w:hAnsi="Times New Roman" w:cs="Times New Roman"/>
          <w:sz w:val="24"/>
          <w:szCs w:val="24"/>
          <w:lang w:val="pl-PL"/>
        </w:rPr>
        <w:t>ocen parametrów</w:t>
      </w:r>
      <w:r w:rsidR="00F11DF2">
        <w:rPr>
          <w:rFonts w:ascii="Times New Roman" w:hAnsi="Times New Roman" w:cs="Times New Roman"/>
          <w:sz w:val="24"/>
          <w:szCs w:val="24"/>
          <w:lang w:val="pl-PL"/>
        </w:rPr>
        <w:t xml:space="preserve"> przy tych zmiennych. Z kolei analizując prorozwojowość struktury wydatków, do modelu wprowadzono te kategorie, które w literaturze zwykle zalicza się do kategorii</w:t>
      </w:r>
      <w:r w:rsidR="00D30F85">
        <w:rPr>
          <w:rFonts w:ascii="Times New Roman" w:hAnsi="Times New Roman" w:cs="Times New Roman"/>
          <w:sz w:val="24"/>
          <w:szCs w:val="24"/>
          <w:lang w:val="pl-PL"/>
        </w:rPr>
        <w:t xml:space="preserve"> wydatków produktywnych, zarówno w wąskim ujęciu (wydatki na edukację, oraz na gospodarkę), jak i w szerszym ujęciu (dodatkowo inne inwestycje w kapitał ludzki: wydatki na zdrowie, na kulturę</w:t>
      </w:r>
      <w:r w:rsidR="00605F3A">
        <w:rPr>
          <w:rFonts w:ascii="Times New Roman" w:hAnsi="Times New Roman" w:cs="Times New Roman"/>
          <w:sz w:val="24"/>
          <w:szCs w:val="24"/>
          <w:lang w:val="pl-PL"/>
        </w:rPr>
        <w:t>,</w:t>
      </w:r>
      <w:r w:rsidR="00D30F85">
        <w:rPr>
          <w:rFonts w:ascii="Times New Roman" w:hAnsi="Times New Roman" w:cs="Times New Roman"/>
          <w:sz w:val="24"/>
          <w:szCs w:val="24"/>
          <w:lang w:val="pl-PL"/>
        </w:rPr>
        <w:t xml:space="preserve"> na ochronę środowiska)</w:t>
      </w:r>
      <w:r w:rsidR="00820759">
        <w:rPr>
          <w:rFonts w:ascii="Times New Roman" w:hAnsi="Times New Roman" w:cs="Times New Roman"/>
          <w:sz w:val="24"/>
          <w:szCs w:val="24"/>
          <w:lang w:val="pl-PL"/>
        </w:rPr>
        <w:t>, które wprowadzono do modelu w postaci zagregowanej, jako wydatki na kapitał ludzki (GF_KL).</w:t>
      </w:r>
    </w:p>
    <w:p w:rsidR="00C36C35" w:rsidRPr="00A23EDF" w:rsidRDefault="00A23EDF" w:rsidP="00605F3A">
      <w:pPr>
        <w:spacing w:before="240" w:after="0" w:line="360" w:lineRule="auto"/>
        <w:jc w:val="both"/>
        <w:rPr>
          <w:rFonts w:ascii="Times New Roman" w:hAnsi="Times New Roman" w:cs="Times New Roman"/>
          <w:sz w:val="20"/>
          <w:szCs w:val="24"/>
          <w:lang w:val="pl-PL"/>
        </w:rPr>
      </w:pPr>
      <w:r w:rsidRPr="00A23EDF">
        <w:rPr>
          <w:rFonts w:ascii="Times New Roman" w:hAnsi="Times New Roman" w:cs="Times New Roman"/>
          <w:sz w:val="20"/>
          <w:szCs w:val="24"/>
          <w:lang w:val="pl-PL"/>
        </w:rPr>
        <w:t xml:space="preserve">Tabela </w:t>
      </w:r>
      <w:r w:rsidR="00CE3C2C">
        <w:rPr>
          <w:rFonts w:ascii="Times New Roman" w:hAnsi="Times New Roman" w:cs="Times New Roman"/>
          <w:sz w:val="20"/>
          <w:szCs w:val="24"/>
          <w:lang w:val="pl-PL"/>
        </w:rPr>
        <w:t>3</w:t>
      </w:r>
      <w:r>
        <w:rPr>
          <w:rFonts w:ascii="Times New Roman" w:hAnsi="Times New Roman" w:cs="Times New Roman"/>
          <w:sz w:val="20"/>
          <w:szCs w:val="24"/>
          <w:lang w:val="pl-PL"/>
        </w:rPr>
        <w:t xml:space="preserve">. </w:t>
      </w:r>
      <w:r w:rsidR="00C36C35" w:rsidRPr="00A23EDF">
        <w:rPr>
          <w:rFonts w:ascii="Times New Roman" w:hAnsi="Times New Roman" w:cs="Times New Roman"/>
          <w:sz w:val="20"/>
          <w:szCs w:val="24"/>
          <w:lang w:val="pl-PL"/>
        </w:rPr>
        <w:t>Wyniki regresji (</w:t>
      </w:r>
      <w:r w:rsidR="00BE33C2" w:rsidRPr="00A23EDF">
        <w:rPr>
          <w:rFonts w:ascii="Times New Roman" w:hAnsi="Times New Roman" w:cs="Times New Roman"/>
          <w:sz w:val="20"/>
          <w:szCs w:val="24"/>
          <w:lang w:val="pl-PL"/>
        </w:rPr>
        <w:t>mode</w:t>
      </w:r>
      <w:r w:rsidR="00C36C35" w:rsidRPr="00A23EDF">
        <w:rPr>
          <w:rFonts w:ascii="Times New Roman" w:hAnsi="Times New Roman" w:cs="Times New Roman"/>
          <w:sz w:val="20"/>
          <w:szCs w:val="24"/>
          <w:lang w:val="pl-PL"/>
        </w:rPr>
        <w:t xml:space="preserve">l </w:t>
      </w:r>
      <w:r w:rsidR="00BE33C2" w:rsidRPr="00A23EDF">
        <w:rPr>
          <w:rFonts w:ascii="Times New Roman" w:hAnsi="Times New Roman" w:cs="Times New Roman"/>
          <w:sz w:val="20"/>
          <w:szCs w:val="24"/>
          <w:lang w:val="pl-PL"/>
        </w:rPr>
        <w:t xml:space="preserve">panelowy </w:t>
      </w:r>
      <w:r w:rsidR="00C36C35" w:rsidRPr="00A23EDF">
        <w:rPr>
          <w:rFonts w:ascii="Times New Roman" w:hAnsi="Times New Roman" w:cs="Times New Roman"/>
          <w:sz w:val="20"/>
          <w:szCs w:val="24"/>
          <w:lang w:val="pl-PL"/>
        </w:rPr>
        <w:t>MNK)</w:t>
      </w:r>
      <w:r w:rsidR="00BE33C2" w:rsidRPr="00A23EDF">
        <w:rPr>
          <w:rFonts w:ascii="Times New Roman" w:hAnsi="Times New Roman" w:cs="Times New Roman"/>
          <w:sz w:val="20"/>
          <w:szCs w:val="24"/>
          <w:lang w:val="pl-PL"/>
        </w:rPr>
        <w:t xml:space="preserve">, zmienna objaśniana: indeks </w:t>
      </w:r>
      <w:proofErr w:type="spellStart"/>
      <w:r w:rsidR="00BE33C2" w:rsidRPr="00A23EDF">
        <w:rPr>
          <w:rFonts w:ascii="Times New Roman" w:hAnsi="Times New Roman" w:cs="Times New Roman"/>
          <w:sz w:val="20"/>
          <w:szCs w:val="24"/>
          <w:lang w:val="pl-PL"/>
        </w:rPr>
        <w:t>Gini</w:t>
      </w:r>
      <w:proofErr w:type="spellEnd"/>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27"/>
        <w:gridCol w:w="516"/>
        <w:gridCol w:w="1676"/>
        <w:gridCol w:w="1327"/>
        <w:gridCol w:w="516"/>
      </w:tblGrid>
      <w:tr w:rsidR="00BE33C2" w:rsidRPr="00BE33C2" w:rsidTr="00BE33C2">
        <w:trPr>
          <w:trHeight w:val="285"/>
        </w:trPr>
        <w:tc>
          <w:tcPr>
            <w:tcW w:w="1668" w:type="dxa"/>
            <w:tcBorders>
              <w:top w:val="single" w:sz="4" w:space="0" w:color="auto"/>
              <w:left w:val="single" w:sz="4" w:space="0" w:color="auto"/>
              <w:bottom w:val="single" w:sz="4" w:space="0" w:color="auto"/>
            </w:tcBorders>
            <w:noWrap/>
            <w:hideMark/>
          </w:tcPr>
          <w:p w:rsidR="00BE33C2" w:rsidRPr="00BE33C2" w:rsidRDefault="00BE33C2" w:rsidP="00BE33C2">
            <w:pPr>
              <w:spacing w:line="276" w:lineRule="auto"/>
              <w:jc w:val="center"/>
              <w:rPr>
                <w:rFonts w:ascii="Times New Roman" w:hAnsi="Times New Roman" w:cs="Times New Roman"/>
                <w:sz w:val="20"/>
                <w:szCs w:val="20"/>
              </w:rPr>
            </w:pPr>
            <w:proofErr w:type="spellStart"/>
            <w:r w:rsidRPr="00BE33C2">
              <w:rPr>
                <w:rFonts w:ascii="Times New Roman" w:hAnsi="Times New Roman" w:cs="Times New Roman"/>
                <w:sz w:val="20"/>
                <w:szCs w:val="20"/>
              </w:rPr>
              <w:t>Zmienna</w:t>
            </w:r>
            <w:proofErr w:type="spellEnd"/>
          </w:p>
        </w:tc>
        <w:tc>
          <w:tcPr>
            <w:tcW w:w="1843" w:type="dxa"/>
            <w:gridSpan w:val="2"/>
            <w:tcBorders>
              <w:top w:val="single" w:sz="4" w:space="0" w:color="auto"/>
              <w:bottom w:val="single" w:sz="4" w:space="0" w:color="auto"/>
              <w:right w:val="single" w:sz="4" w:space="0" w:color="auto"/>
            </w:tcBorders>
            <w:noWrap/>
            <w:hideMark/>
          </w:tcPr>
          <w:p w:rsidR="00BE33C2" w:rsidRPr="00BE33C2" w:rsidRDefault="00511154" w:rsidP="00220FC6">
            <w:pPr>
              <w:spacing w:line="276" w:lineRule="auto"/>
              <w:jc w:val="center"/>
              <w:rPr>
                <w:rFonts w:ascii="Times New Roman" w:hAnsi="Times New Roman" w:cs="Times New Roman"/>
                <w:sz w:val="20"/>
                <w:szCs w:val="20"/>
              </w:rPr>
            </w:pPr>
            <w:r>
              <w:rPr>
                <w:rFonts w:ascii="Times New Roman" w:hAnsi="Times New Roman" w:cs="Times New Roman"/>
                <w:sz w:val="20"/>
                <w:szCs w:val="20"/>
              </w:rPr>
              <w:t>Model 1</w:t>
            </w:r>
          </w:p>
        </w:tc>
        <w:tc>
          <w:tcPr>
            <w:tcW w:w="1676" w:type="dxa"/>
            <w:tcBorders>
              <w:top w:val="single" w:sz="4" w:space="0" w:color="auto"/>
              <w:left w:val="single" w:sz="4" w:space="0" w:color="auto"/>
              <w:bottom w:val="single" w:sz="4" w:space="0" w:color="auto"/>
            </w:tcBorders>
            <w:noWrap/>
            <w:hideMark/>
          </w:tcPr>
          <w:p w:rsidR="00BE33C2" w:rsidRPr="00BE33C2" w:rsidRDefault="00BE33C2" w:rsidP="00BE33C2">
            <w:pPr>
              <w:spacing w:line="276" w:lineRule="auto"/>
              <w:jc w:val="center"/>
              <w:rPr>
                <w:rFonts w:ascii="Times New Roman" w:hAnsi="Times New Roman" w:cs="Times New Roman"/>
                <w:sz w:val="20"/>
                <w:szCs w:val="20"/>
              </w:rPr>
            </w:pPr>
            <w:proofErr w:type="spellStart"/>
            <w:r w:rsidRPr="00BE33C2">
              <w:rPr>
                <w:rFonts w:ascii="Times New Roman" w:hAnsi="Times New Roman" w:cs="Times New Roman"/>
                <w:sz w:val="20"/>
                <w:szCs w:val="20"/>
              </w:rPr>
              <w:t>Zmienna</w:t>
            </w:r>
            <w:proofErr w:type="spellEnd"/>
          </w:p>
        </w:tc>
        <w:tc>
          <w:tcPr>
            <w:tcW w:w="1843" w:type="dxa"/>
            <w:gridSpan w:val="2"/>
            <w:tcBorders>
              <w:top w:val="single" w:sz="4" w:space="0" w:color="auto"/>
              <w:bottom w:val="single" w:sz="4" w:space="0" w:color="auto"/>
              <w:right w:val="single" w:sz="4" w:space="0" w:color="auto"/>
            </w:tcBorders>
            <w:noWrap/>
            <w:hideMark/>
          </w:tcPr>
          <w:p w:rsidR="00BE33C2" w:rsidRPr="00BE33C2" w:rsidRDefault="00511154" w:rsidP="00220FC6">
            <w:pPr>
              <w:jc w:val="center"/>
            </w:pPr>
            <w:r>
              <w:rPr>
                <w:rFonts w:ascii="Times New Roman" w:hAnsi="Times New Roman" w:cs="Times New Roman"/>
                <w:sz w:val="20"/>
                <w:szCs w:val="20"/>
              </w:rPr>
              <w:t>Model 2</w:t>
            </w:r>
          </w:p>
        </w:tc>
      </w:tr>
      <w:tr w:rsidR="00C36C35" w:rsidRPr="00BE33C2" w:rsidTr="00C36C35">
        <w:trPr>
          <w:trHeight w:val="285"/>
        </w:trPr>
        <w:tc>
          <w:tcPr>
            <w:tcW w:w="1668" w:type="dxa"/>
            <w:tcBorders>
              <w:top w:val="single" w:sz="4" w:space="0" w:color="auto"/>
              <w:left w:val="single" w:sz="4" w:space="0" w:color="auto"/>
            </w:tcBorders>
            <w:noWrap/>
            <w:hideMark/>
          </w:tcPr>
          <w:p w:rsidR="00C36C35" w:rsidRPr="00BE33C2" w:rsidRDefault="00C36C35" w:rsidP="00C36C35">
            <w:pPr>
              <w:spacing w:line="276" w:lineRule="auto"/>
              <w:jc w:val="both"/>
              <w:rPr>
                <w:rFonts w:ascii="Times New Roman" w:hAnsi="Times New Roman" w:cs="Times New Roman"/>
                <w:bCs/>
                <w:sz w:val="20"/>
                <w:szCs w:val="20"/>
              </w:rPr>
            </w:pPr>
            <w:proofErr w:type="spellStart"/>
            <w:r w:rsidRPr="00BE33C2">
              <w:rPr>
                <w:rFonts w:ascii="Times New Roman" w:hAnsi="Times New Roman" w:cs="Times New Roman"/>
                <w:bCs/>
                <w:sz w:val="20"/>
                <w:szCs w:val="20"/>
              </w:rPr>
              <w:t>wyraz</w:t>
            </w:r>
            <w:proofErr w:type="spellEnd"/>
            <w:r w:rsidRPr="00BE33C2">
              <w:rPr>
                <w:rFonts w:ascii="Times New Roman" w:hAnsi="Times New Roman" w:cs="Times New Roman"/>
                <w:bCs/>
                <w:sz w:val="20"/>
                <w:szCs w:val="20"/>
              </w:rPr>
              <w:t xml:space="preserve"> </w:t>
            </w:r>
            <w:proofErr w:type="spellStart"/>
            <w:r w:rsidRPr="00BE33C2">
              <w:rPr>
                <w:rFonts w:ascii="Times New Roman" w:hAnsi="Times New Roman" w:cs="Times New Roman"/>
                <w:bCs/>
                <w:sz w:val="20"/>
                <w:szCs w:val="20"/>
              </w:rPr>
              <w:t>wolny</w:t>
            </w:r>
            <w:proofErr w:type="spellEnd"/>
          </w:p>
        </w:tc>
        <w:tc>
          <w:tcPr>
            <w:tcW w:w="1327" w:type="dxa"/>
            <w:tcBorders>
              <w:top w:val="single" w:sz="4" w:space="0" w:color="auto"/>
            </w:tcBorders>
            <w:noWrap/>
            <w:hideMark/>
          </w:tcPr>
          <w:p w:rsidR="00C36C35" w:rsidRPr="00BE33C2" w:rsidRDefault="00C36C35" w:rsidP="00C36C35">
            <w:pPr>
              <w:spacing w:line="276" w:lineRule="auto"/>
              <w:jc w:val="right"/>
              <w:rPr>
                <w:rFonts w:ascii="Times New Roman" w:hAnsi="Times New Roman" w:cs="Times New Roman"/>
                <w:bCs/>
                <w:sz w:val="20"/>
                <w:szCs w:val="20"/>
              </w:rPr>
            </w:pPr>
            <w:r w:rsidRPr="00BE33C2">
              <w:rPr>
                <w:rFonts w:ascii="Times New Roman" w:hAnsi="Times New Roman" w:cs="Times New Roman"/>
                <w:bCs/>
                <w:sz w:val="20"/>
                <w:szCs w:val="20"/>
              </w:rPr>
              <w:t>107,578</w:t>
            </w:r>
          </w:p>
        </w:tc>
        <w:tc>
          <w:tcPr>
            <w:tcW w:w="516" w:type="dxa"/>
            <w:tcBorders>
              <w:top w:val="single" w:sz="4" w:space="0" w:color="auto"/>
              <w:right w:val="single" w:sz="4" w:space="0" w:color="auto"/>
            </w:tcBorders>
            <w:noWrap/>
            <w:hideMark/>
          </w:tcPr>
          <w:p w:rsidR="00C36C35" w:rsidRPr="00BE33C2" w:rsidRDefault="00C36C35" w:rsidP="00C36C35">
            <w:pPr>
              <w:spacing w:line="276" w:lineRule="auto"/>
              <w:rPr>
                <w:rFonts w:ascii="Times New Roman" w:hAnsi="Times New Roman" w:cs="Times New Roman"/>
                <w:sz w:val="20"/>
                <w:szCs w:val="20"/>
              </w:rPr>
            </w:pPr>
            <w:r w:rsidRPr="00BE33C2">
              <w:rPr>
                <w:rFonts w:ascii="Times New Roman" w:hAnsi="Times New Roman" w:cs="Times New Roman"/>
                <w:sz w:val="20"/>
                <w:szCs w:val="20"/>
              </w:rPr>
              <w:t>***</w:t>
            </w:r>
          </w:p>
        </w:tc>
        <w:tc>
          <w:tcPr>
            <w:tcW w:w="1676" w:type="dxa"/>
            <w:tcBorders>
              <w:top w:val="single" w:sz="4" w:space="0" w:color="auto"/>
              <w:left w:val="single" w:sz="4" w:space="0" w:color="auto"/>
            </w:tcBorders>
            <w:noWrap/>
            <w:hideMark/>
          </w:tcPr>
          <w:p w:rsidR="00C36C35" w:rsidRPr="00BE33C2" w:rsidRDefault="00C36C35" w:rsidP="00C36C35">
            <w:pPr>
              <w:spacing w:line="276" w:lineRule="auto"/>
              <w:jc w:val="both"/>
              <w:rPr>
                <w:rFonts w:ascii="Times New Roman" w:hAnsi="Times New Roman" w:cs="Times New Roman"/>
                <w:bCs/>
                <w:sz w:val="20"/>
                <w:szCs w:val="20"/>
              </w:rPr>
            </w:pPr>
            <w:proofErr w:type="spellStart"/>
            <w:r w:rsidRPr="00BE33C2">
              <w:rPr>
                <w:rFonts w:ascii="Times New Roman" w:hAnsi="Times New Roman" w:cs="Times New Roman"/>
                <w:bCs/>
                <w:sz w:val="20"/>
                <w:szCs w:val="20"/>
              </w:rPr>
              <w:t>wyraz</w:t>
            </w:r>
            <w:proofErr w:type="spellEnd"/>
            <w:r w:rsidRPr="00BE33C2">
              <w:rPr>
                <w:rFonts w:ascii="Times New Roman" w:hAnsi="Times New Roman" w:cs="Times New Roman"/>
                <w:bCs/>
                <w:sz w:val="20"/>
                <w:szCs w:val="20"/>
              </w:rPr>
              <w:t xml:space="preserve"> </w:t>
            </w:r>
            <w:proofErr w:type="spellStart"/>
            <w:r w:rsidRPr="00BE33C2">
              <w:rPr>
                <w:rFonts w:ascii="Times New Roman" w:hAnsi="Times New Roman" w:cs="Times New Roman"/>
                <w:bCs/>
                <w:sz w:val="20"/>
                <w:szCs w:val="20"/>
              </w:rPr>
              <w:t>wolny</w:t>
            </w:r>
            <w:proofErr w:type="spellEnd"/>
          </w:p>
        </w:tc>
        <w:tc>
          <w:tcPr>
            <w:tcW w:w="1327" w:type="dxa"/>
            <w:tcBorders>
              <w:top w:val="single" w:sz="4" w:space="0" w:color="auto"/>
            </w:tcBorders>
            <w:noWrap/>
            <w:hideMark/>
          </w:tcPr>
          <w:p w:rsidR="00C36C35" w:rsidRPr="00BE33C2" w:rsidRDefault="00C36C35" w:rsidP="00C36C35">
            <w:pPr>
              <w:spacing w:line="276" w:lineRule="auto"/>
              <w:jc w:val="right"/>
              <w:rPr>
                <w:rFonts w:ascii="Times New Roman" w:hAnsi="Times New Roman" w:cs="Times New Roman"/>
                <w:bCs/>
                <w:sz w:val="20"/>
                <w:szCs w:val="20"/>
              </w:rPr>
            </w:pPr>
            <w:r w:rsidRPr="00BE33C2">
              <w:rPr>
                <w:rFonts w:ascii="Times New Roman" w:hAnsi="Times New Roman" w:cs="Times New Roman"/>
                <w:bCs/>
                <w:sz w:val="20"/>
                <w:szCs w:val="20"/>
              </w:rPr>
              <w:t>89,147</w:t>
            </w:r>
          </w:p>
        </w:tc>
        <w:tc>
          <w:tcPr>
            <w:tcW w:w="516" w:type="dxa"/>
            <w:tcBorders>
              <w:top w:val="single" w:sz="4" w:space="0" w:color="auto"/>
              <w:right w:val="single" w:sz="4" w:space="0" w:color="auto"/>
            </w:tcBorders>
            <w:noWrap/>
            <w:hideMark/>
          </w:tcPr>
          <w:p w:rsidR="00C36C35" w:rsidRPr="00BE33C2" w:rsidRDefault="00C36C35" w:rsidP="00C36C35">
            <w:pPr>
              <w:spacing w:line="276" w:lineRule="auto"/>
              <w:rPr>
                <w:rFonts w:ascii="Times New Roman" w:hAnsi="Times New Roman" w:cs="Times New Roman"/>
                <w:bCs/>
                <w:sz w:val="20"/>
                <w:szCs w:val="20"/>
              </w:rPr>
            </w:pPr>
            <w:r w:rsidRPr="00BE33C2">
              <w:rPr>
                <w:rFonts w:ascii="Times New Roman" w:hAnsi="Times New Roman" w:cs="Times New Roman"/>
                <w:bCs/>
                <w:sz w:val="20"/>
                <w:szCs w:val="20"/>
              </w:rPr>
              <w:t>***</w:t>
            </w:r>
          </w:p>
        </w:tc>
      </w:tr>
      <w:tr w:rsidR="00C36C35" w:rsidRPr="00BE33C2" w:rsidTr="00C36C35">
        <w:trPr>
          <w:trHeight w:val="285"/>
        </w:trPr>
        <w:tc>
          <w:tcPr>
            <w:tcW w:w="1668" w:type="dxa"/>
            <w:tcBorders>
              <w:left w:val="single" w:sz="4" w:space="0" w:color="auto"/>
            </w:tcBorders>
            <w:noWrap/>
            <w:hideMark/>
          </w:tcPr>
          <w:p w:rsidR="00C36C35" w:rsidRPr="00BE33C2" w:rsidRDefault="00C36C35" w:rsidP="00C36C35">
            <w:pPr>
              <w:spacing w:line="276" w:lineRule="auto"/>
              <w:jc w:val="both"/>
              <w:rPr>
                <w:rFonts w:ascii="Times New Roman" w:hAnsi="Times New Roman" w:cs="Times New Roman"/>
                <w:bCs/>
                <w:sz w:val="20"/>
                <w:szCs w:val="20"/>
              </w:rPr>
            </w:pPr>
            <w:r w:rsidRPr="00BE33C2">
              <w:rPr>
                <w:rFonts w:ascii="Times New Roman" w:hAnsi="Times New Roman" w:cs="Times New Roman"/>
                <w:bCs/>
                <w:sz w:val="20"/>
                <w:szCs w:val="20"/>
              </w:rPr>
              <w:t>uGF5</w:t>
            </w:r>
          </w:p>
        </w:tc>
        <w:tc>
          <w:tcPr>
            <w:tcW w:w="1327" w:type="dxa"/>
            <w:noWrap/>
            <w:hideMark/>
          </w:tcPr>
          <w:p w:rsidR="00C36C35" w:rsidRPr="00BE33C2" w:rsidRDefault="00C36C35" w:rsidP="00C36C35">
            <w:pPr>
              <w:spacing w:line="276" w:lineRule="auto"/>
              <w:jc w:val="right"/>
              <w:rPr>
                <w:rFonts w:ascii="Times New Roman" w:hAnsi="Times New Roman" w:cs="Times New Roman"/>
                <w:bCs/>
                <w:sz w:val="20"/>
                <w:szCs w:val="20"/>
              </w:rPr>
            </w:pPr>
            <w:r w:rsidRPr="00BE33C2">
              <w:rPr>
                <w:rFonts w:ascii="Times New Roman" w:hAnsi="Times New Roman" w:cs="Times New Roman"/>
                <w:bCs/>
                <w:sz w:val="20"/>
                <w:szCs w:val="20"/>
              </w:rPr>
              <w:t>-1,843</w:t>
            </w:r>
          </w:p>
        </w:tc>
        <w:tc>
          <w:tcPr>
            <w:tcW w:w="516" w:type="dxa"/>
            <w:tcBorders>
              <w:right w:val="single" w:sz="4" w:space="0" w:color="auto"/>
            </w:tcBorders>
            <w:noWrap/>
            <w:hideMark/>
          </w:tcPr>
          <w:p w:rsidR="00C36C35" w:rsidRPr="00BE33C2" w:rsidRDefault="00C36C35" w:rsidP="00C36C35">
            <w:pPr>
              <w:spacing w:line="276" w:lineRule="auto"/>
              <w:rPr>
                <w:rFonts w:ascii="Times New Roman" w:hAnsi="Times New Roman" w:cs="Times New Roman"/>
                <w:sz w:val="20"/>
                <w:szCs w:val="20"/>
              </w:rPr>
            </w:pPr>
            <w:r w:rsidRPr="00BE33C2">
              <w:rPr>
                <w:rFonts w:ascii="Times New Roman" w:hAnsi="Times New Roman" w:cs="Times New Roman"/>
                <w:sz w:val="20"/>
                <w:szCs w:val="20"/>
              </w:rPr>
              <w:t>*</w:t>
            </w:r>
          </w:p>
        </w:tc>
        <w:tc>
          <w:tcPr>
            <w:tcW w:w="1676" w:type="dxa"/>
            <w:tcBorders>
              <w:left w:val="single" w:sz="4" w:space="0" w:color="auto"/>
            </w:tcBorders>
            <w:noWrap/>
            <w:hideMark/>
          </w:tcPr>
          <w:p w:rsidR="00C36C35" w:rsidRPr="00BE33C2" w:rsidRDefault="00C36C35" w:rsidP="00C36C35">
            <w:pPr>
              <w:spacing w:line="276" w:lineRule="auto"/>
              <w:jc w:val="both"/>
              <w:rPr>
                <w:rFonts w:ascii="Times New Roman" w:hAnsi="Times New Roman" w:cs="Times New Roman"/>
                <w:bCs/>
                <w:sz w:val="20"/>
                <w:szCs w:val="20"/>
              </w:rPr>
            </w:pPr>
            <w:r w:rsidRPr="00BE33C2">
              <w:rPr>
                <w:rFonts w:ascii="Times New Roman" w:hAnsi="Times New Roman" w:cs="Times New Roman"/>
                <w:bCs/>
                <w:sz w:val="20"/>
                <w:szCs w:val="20"/>
              </w:rPr>
              <w:t>GF5</w:t>
            </w:r>
          </w:p>
        </w:tc>
        <w:tc>
          <w:tcPr>
            <w:tcW w:w="1327" w:type="dxa"/>
            <w:noWrap/>
            <w:hideMark/>
          </w:tcPr>
          <w:p w:rsidR="00C36C35" w:rsidRPr="00BE33C2" w:rsidRDefault="00C36C35" w:rsidP="00C36C35">
            <w:pPr>
              <w:spacing w:line="276" w:lineRule="auto"/>
              <w:jc w:val="right"/>
              <w:rPr>
                <w:rFonts w:ascii="Times New Roman" w:hAnsi="Times New Roman" w:cs="Times New Roman"/>
                <w:bCs/>
                <w:sz w:val="20"/>
                <w:szCs w:val="20"/>
              </w:rPr>
            </w:pPr>
            <w:r w:rsidRPr="00BE33C2">
              <w:rPr>
                <w:rFonts w:ascii="Times New Roman" w:hAnsi="Times New Roman" w:cs="Times New Roman"/>
                <w:bCs/>
                <w:sz w:val="20"/>
                <w:szCs w:val="20"/>
              </w:rPr>
              <w:t>-4,612</w:t>
            </w:r>
          </w:p>
        </w:tc>
        <w:tc>
          <w:tcPr>
            <w:tcW w:w="516" w:type="dxa"/>
            <w:tcBorders>
              <w:right w:val="single" w:sz="4" w:space="0" w:color="auto"/>
            </w:tcBorders>
            <w:noWrap/>
            <w:hideMark/>
          </w:tcPr>
          <w:p w:rsidR="00C36C35" w:rsidRPr="00BE33C2" w:rsidRDefault="00C36C35" w:rsidP="00C36C35">
            <w:pPr>
              <w:spacing w:line="276" w:lineRule="auto"/>
              <w:rPr>
                <w:rFonts w:ascii="Times New Roman" w:hAnsi="Times New Roman" w:cs="Times New Roman"/>
                <w:bCs/>
                <w:sz w:val="20"/>
                <w:szCs w:val="20"/>
              </w:rPr>
            </w:pPr>
            <w:r w:rsidRPr="00BE33C2">
              <w:rPr>
                <w:rFonts w:ascii="Times New Roman" w:hAnsi="Times New Roman" w:cs="Times New Roman"/>
                <w:bCs/>
                <w:sz w:val="20"/>
                <w:szCs w:val="20"/>
              </w:rPr>
              <w:t>**</w:t>
            </w:r>
          </w:p>
        </w:tc>
      </w:tr>
      <w:tr w:rsidR="00C36C35" w:rsidRPr="00BE33C2" w:rsidTr="00C36C35">
        <w:trPr>
          <w:trHeight w:val="285"/>
        </w:trPr>
        <w:tc>
          <w:tcPr>
            <w:tcW w:w="1668" w:type="dxa"/>
            <w:tcBorders>
              <w:left w:val="single" w:sz="4" w:space="0" w:color="auto"/>
            </w:tcBorders>
            <w:noWrap/>
            <w:hideMark/>
          </w:tcPr>
          <w:p w:rsidR="00C36C35" w:rsidRPr="00BE33C2" w:rsidRDefault="00C36C35" w:rsidP="00C36C35">
            <w:pPr>
              <w:spacing w:line="276" w:lineRule="auto"/>
              <w:jc w:val="both"/>
              <w:rPr>
                <w:rFonts w:ascii="Times New Roman" w:hAnsi="Times New Roman" w:cs="Times New Roman"/>
                <w:sz w:val="20"/>
                <w:szCs w:val="20"/>
              </w:rPr>
            </w:pPr>
            <w:r w:rsidRPr="00BE33C2">
              <w:rPr>
                <w:rFonts w:ascii="Times New Roman" w:hAnsi="Times New Roman" w:cs="Times New Roman"/>
                <w:sz w:val="20"/>
                <w:szCs w:val="20"/>
              </w:rPr>
              <w:t>uGF6</w:t>
            </w:r>
          </w:p>
        </w:tc>
        <w:tc>
          <w:tcPr>
            <w:tcW w:w="1327" w:type="dxa"/>
            <w:noWrap/>
            <w:hideMark/>
          </w:tcPr>
          <w:p w:rsidR="00C36C35" w:rsidRPr="00BE33C2" w:rsidRDefault="00C36C35" w:rsidP="00C36C35">
            <w:pPr>
              <w:spacing w:line="276" w:lineRule="auto"/>
              <w:jc w:val="right"/>
              <w:rPr>
                <w:rFonts w:ascii="Times New Roman" w:hAnsi="Times New Roman" w:cs="Times New Roman"/>
                <w:sz w:val="20"/>
                <w:szCs w:val="20"/>
              </w:rPr>
            </w:pPr>
            <w:r w:rsidRPr="00BE33C2">
              <w:rPr>
                <w:rFonts w:ascii="Times New Roman" w:hAnsi="Times New Roman" w:cs="Times New Roman"/>
                <w:sz w:val="20"/>
                <w:szCs w:val="20"/>
              </w:rPr>
              <w:t>-0,510</w:t>
            </w:r>
          </w:p>
        </w:tc>
        <w:tc>
          <w:tcPr>
            <w:tcW w:w="516" w:type="dxa"/>
            <w:tcBorders>
              <w:right w:val="single" w:sz="4" w:space="0" w:color="auto"/>
            </w:tcBorders>
            <w:noWrap/>
            <w:hideMark/>
          </w:tcPr>
          <w:p w:rsidR="00C36C35" w:rsidRPr="00BE33C2" w:rsidRDefault="00C36C35" w:rsidP="00C36C35">
            <w:pPr>
              <w:spacing w:line="276" w:lineRule="auto"/>
              <w:rPr>
                <w:rFonts w:ascii="Times New Roman" w:hAnsi="Times New Roman" w:cs="Times New Roman"/>
                <w:sz w:val="20"/>
                <w:szCs w:val="20"/>
              </w:rPr>
            </w:pPr>
          </w:p>
        </w:tc>
        <w:tc>
          <w:tcPr>
            <w:tcW w:w="1676" w:type="dxa"/>
            <w:tcBorders>
              <w:left w:val="single" w:sz="4" w:space="0" w:color="auto"/>
            </w:tcBorders>
            <w:noWrap/>
            <w:hideMark/>
          </w:tcPr>
          <w:p w:rsidR="00C36C35" w:rsidRPr="00BE33C2" w:rsidRDefault="00C36C35" w:rsidP="00C36C35">
            <w:pPr>
              <w:spacing w:line="276" w:lineRule="auto"/>
              <w:jc w:val="both"/>
              <w:rPr>
                <w:rFonts w:ascii="Times New Roman" w:hAnsi="Times New Roman" w:cs="Times New Roman"/>
                <w:sz w:val="20"/>
                <w:szCs w:val="20"/>
              </w:rPr>
            </w:pPr>
            <w:r w:rsidRPr="00BE33C2">
              <w:rPr>
                <w:rFonts w:ascii="Times New Roman" w:hAnsi="Times New Roman" w:cs="Times New Roman"/>
                <w:sz w:val="20"/>
                <w:szCs w:val="20"/>
              </w:rPr>
              <w:t>GF6</w:t>
            </w:r>
          </w:p>
        </w:tc>
        <w:tc>
          <w:tcPr>
            <w:tcW w:w="1327" w:type="dxa"/>
            <w:noWrap/>
            <w:hideMark/>
          </w:tcPr>
          <w:p w:rsidR="00C36C35" w:rsidRPr="00BE33C2" w:rsidRDefault="00C36C35" w:rsidP="00C36C35">
            <w:pPr>
              <w:spacing w:line="276" w:lineRule="auto"/>
              <w:jc w:val="right"/>
              <w:rPr>
                <w:rFonts w:ascii="Times New Roman" w:hAnsi="Times New Roman" w:cs="Times New Roman"/>
                <w:sz w:val="20"/>
                <w:szCs w:val="20"/>
              </w:rPr>
            </w:pPr>
            <w:r w:rsidRPr="00BE33C2">
              <w:rPr>
                <w:rFonts w:ascii="Times New Roman" w:hAnsi="Times New Roman" w:cs="Times New Roman"/>
                <w:sz w:val="20"/>
                <w:szCs w:val="20"/>
              </w:rPr>
              <w:t>-1,294</w:t>
            </w:r>
          </w:p>
        </w:tc>
        <w:tc>
          <w:tcPr>
            <w:tcW w:w="516" w:type="dxa"/>
            <w:tcBorders>
              <w:right w:val="single" w:sz="4" w:space="0" w:color="auto"/>
            </w:tcBorders>
            <w:noWrap/>
            <w:hideMark/>
          </w:tcPr>
          <w:p w:rsidR="00C36C35" w:rsidRPr="00BE33C2" w:rsidRDefault="00C36C35" w:rsidP="00C36C35">
            <w:pPr>
              <w:spacing w:line="276" w:lineRule="auto"/>
              <w:rPr>
                <w:rFonts w:ascii="Times New Roman" w:hAnsi="Times New Roman" w:cs="Times New Roman"/>
                <w:sz w:val="20"/>
                <w:szCs w:val="20"/>
              </w:rPr>
            </w:pPr>
          </w:p>
        </w:tc>
      </w:tr>
      <w:tr w:rsidR="00C36C35" w:rsidRPr="00BE33C2" w:rsidTr="00C36C35">
        <w:trPr>
          <w:trHeight w:val="285"/>
        </w:trPr>
        <w:tc>
          <w:tcPr>
            <w:tcW w:w="1668" w:type="dxa"/>
            <w:tcBorders>
              <w:left w:val="single" w:sz="4" w:space="0" w:color="auto"/>
            </w:tcBorders>
            <w:noWrap/>
            <w:hideMark/>
          </w:tcPr>
          <w:p w:rsidR="00C36C35" w:rsidRPr="00BE33C2" w:rsidRDefault="00C36C35" w:rsidP="00C36C35">
            <w:pPr>
              <w:spacing w:line="276" w:lineRule="auto"/>
              <w:jc w:val="both"/>
              <w:rPr>
                <w:rFonts w:ascii="Times New Roman" w:hAnsi="Times New Roman" w:cs="Times New Roman"/>
                <w:bCs/>
                <w:sz w:val="20"/>
                <w:szCs w:val="20"/>
              </w:rPr>
            </w:pPr>
            <w:r w:rsidRPr="00BE33C2">
              <w:rPr>
                <w:rFonts w:ascii="Times New Roman" w:hAnsi="Times New Roman" w:cs="Times New Roman"/>
                <w:bCs/>
                <w:sz w:val="20"/>
                <w:szCs w:val="20"/>
              </w:rPr>
              <w:t>uGF7</w:t>
            </w:r>
          </w:p>
        </w:tc>
        <w:tc>
          <w:tcPr>
            <w:tcW w:w="1327" w:type="dxa"/>
            <w:noWrap/>
            <w:hideMark/>
          </w:tcPr>
          <w:p w:rsidR="00C36C35" w:rsidRPr="00BE33C2" w:rsidRDefault="00C36C35" w:rsidP="00C36C35">
            <w:pPr>
              <w:spacing w:line="276" w:lineRule="auto"/>
              <w:jc w:val="right"/>
              <w:rPr>
                <w:rFonts w:ascii="Times New Roman" w:hAnsi="Times New Roman" w:cs="Times New Roman"/>
                <w:bCs/>
                <w:sz w:val="20"/>
                <w:szCs w:val="20"/>
              </w:rPr>
            </w:pPr>
            <w:r w:rsidRPr="00BE33C2">
              <w:rPr>
                <w:rFonts w:ascii="Times New Roman" w:hAnsi="Times New Roman" w:cs="Times New Roman"/>
                <w:bCs/>
                <w:sz w:val="20"/>
                <w:szCs w:val="20"/>
              </w:rPr>
              <w:t>-0,496</w:t>
            </w:r>
          </w:p>
        </w:tc>
        <w:tc>
          <w:tcPr>
            <w:tcW w:w="516" w:type="dxa"/>
            <w:tcBorders>
              <w:right w:val="single" w:sz="4" w:space="0" w:color="auto"/>
            </w:tcBorders>
            <w:noWrap/>
            <w:hideMark/>
          </w:tcPr>
          <w:p w:rsidR="00C36C35" w:rsidRPr="00BE33C2" w:rsidRDefault="00C36C35" w:rsidP="00C36C35">
            <w:pPr>
              <w:spacing w:line="276" w:lineRule="auto"/>
              <w:rPr>
                <w:rFonts w:ascii="Times New Roman" w:hAnsi="Times New Roman" w:cs="Times New Roman"/>
                <w:sz w:val="20"/>
                <w:szCs w:val="20"/>
              </w:rPr>
            </w:pPr>
            <w:r w:rsidRPr="00BE33C2">
              <w:rPr>
                <w:rFonts w:ascii="Times New Roman" w:hAnsi="Times New Roman" w:cs="Times New Roman"/>
                <w:sz w:val="20"/>
                <w:szCs w:val="20"/>
              </w:rPr>
              <w:t>*</w:t>
            </w:r>
          </w:p>
        </w:tc>
        <w:tc>
          <w:tcPr>
            <w:tcW w:w="1676" w:type="dxa"/>
            <w:tcBorders>
              <w:left w:val="single" w:sz="4" w:space="0" w:color="auto"/>
            </w:tcBorders>
            <w:noWrap/>
            <w:hideMark/>
          </w:tcPr>
          <w:p w:rsidR="00C36C35" w:rsidRPr="00BE33C2" w:rsidRDefault="00C36C35" w:rsidP="00C36C35">
            <w:pPr>
              <w:spacing w:line="276" w:lineRule="auto"/>
              <w:jc w:val="both"/>
              <w:rPr>
                <w:rFonts w:ascii="Times New Roman" w:hAnsi="Times New Roman" w:cs="Times New Roman"/>
                <w:bCs/>
                <w:sz w:val="20"/>
                <w:szCs w:val="20"/>
              </w:rPr>
            </w:pPr>
            <w:r w:rsidRPr="00BE33C2">
              <w:rPr>
                <w:rFonts w:ascii="Times New Roman" w:hAnsi="Times New Roman" w:cs="Times New Roman"/>
                <w:bCs/>
                <w:sz w:val="20"/>
                <w:szCs w:val="20"/>
              </w:rPr>
              <w:t>GF7</w:t>
            </w:r>
          </w:p>
        </w:tc>
        <w:tc>
          <w:tcPr>
            <w:tcW w:w="1327" w:type="dxa"/>
            <w:noWrap/>
            <w:hideMark/>
          </w:tcPr>
          <w:p w:rsidR="00C36C35" w:rsidRPr="00BE33C2" w:rsidRDefault="00C36C35" w:rsidP="00C36C35">
            <w:pPr>
              <w:spacing w:line="276" w:lineRule="auto"/>
              <w:jc w:val="right"/>
              <w:rPr>
                <w:rFonts w:ascii="Times New Roman" w:hAnsi="Times New Roman" w:cs="Times New Roman"/>
                <w:bCs/>
                <w:sz w:val="20"/>
                <w:szCs w:val="20"/>
              </w:rPr>
            </w:pPr>
            <w:r w:rsidRPr="00BE33C2">
              <w:rPr>
                <w:rFonts w:ascii="Times New Roman" w:hAnsi="Times New Roman" w:cs="Times New Roman"/>
                <w:bCs/>
                <w:sz w:val="20"/>
                <w:szCs w:val="20"/>
              </w:rPr>
              <w:t>-1,321</w:t>
            </w:r>
          </w:p>
        </w:tc>
        <w:tc>
          <w:tcPr>
            <w:tcW w:w="516" w:type="dxa"/>
            <w:tcBorders>
              <w:right w:val="single" w:sz="4" w:space="0" w:color="auto"/>
            </w:tcBorders>
            <w:noWrap/>
            <w:hideMark/>
          </w:tcPr>
          <w:p w:rsidR="00C36C35" w:rsidRPr="00BE33C2" w:rsidRDefault="00C36C35" w:rsidP="00C36C35">
            <w:pPr>
              <w:spacing w:line="276" w:lineRule="auto"/>
              <w:rPr>
                <w:rFonts w:ascii="Times New Roman" w:hAnsi="Times New Roman" w:cs="Times New Roman"/>
                <w:bCs/>
                <w:sz w:val="20"/>
                <w:szCs w:val="20"/>
              </w:rPr>
            </w:pPr>
            <w:r w:rsidRPr="00BE33C2">
              <w:rPr>
                <w:rFonts w:ascii="Times New Roman" w:hAnsi="Times New Roman" w:cs="Times New Roman"/>
                <w:bCs/>
                <w:sz w:val="20"/>
                <w:szCs w:val="20"/>
              </w:rPr>
              <w:t>***</w:t>
            </w:r>
          </w:p>
        </w:tc>
      </w:tr>
      <w:tr w:rsidR="00C36C35" w:rsidRPr="00BE33C2" w:rsidTr="00C36C35">
        <w:trPr>
          <w:trHeight w:val="285"/>
        </w:trPr>
        <w:tc>
          <w:tcPr>
            <w:tcW w:w="1668" w:type="dxa"/>
            <w:tcBorders>
              <w:left w:val="single" w:sz="4" w:space="0" w:color="auto"/>
            </w:tcBorders>
            <w:noWrap/>
            <w:hideMark/>
          </w:tcPr>
          <w:p w:rsidR="00C36C35" w:rsidRPr="00BE33C2" w:rsidRDefault="00C36C35" w:rsidP="00C36C35">
            <w:pPr>
              <w:spacing w:line="276" w:lineRule="auto"/>
              <w:jc w:val="both"/>
              <w:rPr>
                <w:rFonts w:ascii="Times New Roman" w:hAnsi="Times New Roman" w:cs="Times New Roman"/>
                <w:sz w:val="20"/>
                <w:szCs w:val="20"/>
              </w:rPr>
            </w:pPr>
            <w:r w:rsidRPr="00BE33C2">
              <w:rPr>
                <w:rFonts w:ascii="Times New Roman" w:hAnsi="Times New Roman" w:cs="Times New Roman"/>
                <w:sz w:val="20"/>
                <w:szCs w:val="20"/>
              </w:rPr>
              <w:t>uGF10</w:t>
            </w:r>
          </w:p>
        </w:tc>
        <w:tc>
          <w:tcPr>
            <w:tcW w:w="1327" w:type="dxa"/>
            <w:noWrap/>
            <w:hideMark/>
          </w:tcPr>
          <w:p w:rsidR="00C36C35" w:rsidRPr="00BE33C2" w:rsidRDefault="00C36C35" w:rsidP="00C36C35">
            <w:pPr>
              <w:spacing w:line="276" w:lineRule="auto"/>
              <w:jc w:val="right"/>
              <w:rPr>
                <w:rFonts w:ascii="Times New Roman" w:hAnsi="Times New Roman" w:cs="Times New Roman"/>
                <w:sz w:val="20"/>
                <w:szCs w:val="20"/>
              </w:rPr>
            </w:pPr>
            <w:r w:rsidRPr="00BE33C2">
              <w:rPr>
                <w:rFonts w:ascii="Times New Roman" w:hAnsi="Times New Roman" w:cs="Times New Roman"/>
                <w:sz w:val="20"/>
                <w:szCs w:val="20"/>
              </w:rPr>
              <w:t>-0,169</w:t>
            </w:r>
          </w:p>
        </w:tc>
        <w:tc>
          <w:tcPr>
            <w:tcW w:w="516" w:type="dxa"/>
            <w:tcBorders>
              <w:right w:val="single" w:sz="4" w:space="0" w:color="auto"/>
            </w:tcBorders>
            <w:noWrap/>
            <w:hideMark/>
          </w:tcPr>
          <w:p w:rsidR="00C36C35" w:rsidRPr="00BE33C2" w:rsidRDefault="00C36C35" w:rsidP="00C36C35">
            <w:pPr>
              <w:spacing w:line="276" w:lineRule="auto"/>
              <w:rPr>
                <w:rFonts w:ascii="Times New Roman" w:hAnsi="Times New Roman" w:cs="Times New Roman"/>
                <w:sz w:val="20"/>
                <w:szCs w:val="20"/>
              </w:rPr>
            </w:pPr>
          </w:p>
        </w:tc>
        <w:tc>
          <w:tcPr>
            <w:tcW w:w="1676" w:type="dxa"/>
            <w:tcBorders>
              <w:left w:val="single" w:sz="4" w:space="0" w:color="auto"/>
            </w:tcBorders>
            <w:noWrap/>
            <w:hideMark/>
          </w:tcPr>
          <w:p w:rsidR="00C36C35" w:rsidRPr="00BE33C2" w:rsidRDefault="00C36C35" w:rsidP="00C36C35">
            <w:pPr>
              <w:spacing w:line="276" w:lineRule="auto"/>
              <w:jc w:val="both"/>
              <w:rPr>
                <w:rFonts w:ascii="Times New Roman" w:hAnsi="Times New Roman" w:cs="Times New Roman"/>
                <w:bCs/>
                <w:sz w:val="20"/>
                <w:szCs w:val="20"/>
              </w:rPr>
            </w:pPr>
            <w:r w:rsidRPr="00BE33C2">
              <w:rPr>
                <w:rFonts w:ascii="Times New Roman" w:hAnsi="Times New Roman" w:cs="Times New Roman"/>
                <w:bCs/>
                <w:sz w:val="20"/>
                <w:szCs w:val="20"/>
              </w:rPr>
              <w:t>GF10</w:t>
            </w:r>
          </w:p>
        </w:tc>
        <w:tc>
          <w:tcPr>
            <w:tcW w:w="1327" w:type="dxa"/>
            <w:noWrap/>
            <w:hideMark/>
          </w:tcPr>
          <w:p w:rsidR="00C36C35" w:rsidRPr="00BE33C2" w:rsidRDefault="00C36C35" w:rsidP="00C36C35">
            <w:pPr>
              <w:spacing w:line="276" w:lineRule="auto"/>
              <w:jc w:val="right"/>
              <w:rPr>
                <w:rFonts w:ascii="Times New Roman" w:hAnsi="Times New Roman" w:cs="Times New Roman"/>
                <w:bCs/>
                <w:sz w:val="20"/>
                <w:szCs w:val="20"/>
              </w:rPr>
            </w:pPr>
            <w:r w:rsidRPr="00BE33C2">
              <w:rPr>
                <w:rFonts w:ascii="Times New Roman" w:hAnsi="Times New Roman" w:cs="Times New Roman"/>
                <w:bCs/>
                <w:sz w:val="20"/>
                <w:szCs w:val="20"/>
              </w:rPr>
              <w:t>-0,630</w:t>
            </w:r>
          </w:p>
        </w:tc>
        <w:tc>
          <w:tcPr>
            <w:tcW w:w="516" w:type="dxa"/>
            <w:tcBorders>
              <w:right w:val="single" w:sz="4" w:space="0" w:color="auto"/>
            </w:tcBorders>
            <w:noWrap/>
            <w:hideMark/>
          </w:tcPr>
          <w:p w:rsidR="00C36C35" w:rsidRPr="00BE33C2" w:rsidRDefault="00C36C35" w:rsidP="00C36C35">
            <w:pPr>
              <w:spacing w:line="276" w:lineRule="auto"/>
              <w:rPr>
                <w:rFonts w:ascii="Times New Roman" w:hAnsi="Times New Roman" w:cs="Times New Roman"/>
                <w:bCs/>
                <w:sz w:val="20"/>
                <w:szCs w:val="20"/>
              </w:rPr>
            </w:pPr>
            <w:r w:rsidRPr="00BE33C2">
              <w:rPr>
                <w:rFonts w:ascii="Times New Roman" w:hAnsi="Times New Roman" w:cs="Times New Roman"/>
                <w:bCs/>
                <w:sz w:val="20"/>
                <w:szCs w:val="20"/>
              </w:rPr>
              <w:t>***</w:t>
            </w:r>
          </w:p>
        </w:tc>
      </w:tr>
      <w:tr w:rsidR="00C36C35" w:rsidRPr="00BE33C2" w:rsidTr="00C36C35">
        <w:trPr>
          <w:trHeight w:val="285"/>
        </w:trPr>
        <w:tc>
          <w:tcPr>
            <w:tcW w:w="1668" w:type="dxa"/>
            <w:tcBorders>
              <w:left w:val="single" w:sz="4" w:space="0" w:color="auto"/>
            </w:tcBorders>
            <w:noWrap/>
            <w:hideMark/>
          </w:tcPr>
          <w:p w:rsidR="00C36C35" w:rsidRPr="00BE33C2" w:rsidRDefault="00511154" w:rsidP="00C36C35">
            <w:pPr>
              <w:spacing w:line="276" w:lineRule="auto"/>
              <w:jc w:val="both"/>
              <w:rPr>
                <w:rFonts w:ascii="Times New Roman" w:hAnsi="Times New Roman" w:cs="Times New Roman"/>
                <w:bCs/>
                <w:sz w:val="20"/>
                <w:szCs w:val="20"/>
              </w:rPr>
            </w:pPr>
            <w:r>
              <w:rPr>
                <w:rFonts w:ascii="Times New Roman" w:hAnsi="Times New Roman" w:cs="Times New Roman"/>
                <w:bCs/>
                <w:sz w:val="20"/>
                <w:szCs w:val="20"/>
              </w:rPr>
              <w:t>GF</w:t>
            </w:r>
          </w:p>
        </w:tc>
        <w:tc>
          <w:tcPr>
            <w:tcW w:w="1327" w:type="dxa"/>
            <w:noWrap/>
            <w:hideMark/>
          </w:tcPr>
          <w:p w:rsidR="00C36C35" w:rsidRPr="00BE33C2" w:rsidRDefault="00C36C35" w:rsidP="00C36C35">
            <w:pPr>
              <w:spacing w:line="276" w:lineRule="auto"/>
              <w:jc w:val="right"/>
              <w:rPr>
                <w:rFonts w:ascii="Times New Roman" w:hAnsi="Times New Roman" w:cs="Times New Roman"/>
                <w:bCs/>
                <w:sz w:val="20"/>
                <w:szCs w:val="20"/>
              </w:rPr>
            </w:pPr>
            <w:r w:rsidRPr="00BE33C2">
              <w:rPr>
                <w:rFonts w:ascii="Times New Roman" w:hAnsi="Times New Roman" w:cs="Times New Roman"/>
                <w:bCs/>
                <w:sz w:val="20"/>
                <w:szCs w:val="20"/>
              </w:rPr>
              <w:t>-0,495</w:t>
            </w:r>
          </w:p>
        </w:tc>
        <w:tc>
          <w:tcPr>
            <w:tcW w:w="516" w:type="dxa"/>
            <w:tcBorders>
              <w:right w:val="single" w:sz="4" w:space="0" w:color="auto"/>
            </w:tcBorders>
            <w:noWrap/>
            <w:hideMark/>
          </w:tcPr>
          <w:p w:rsidR="00C36C35" w:rsidRPr="00BE33C2" w:rsidRDefault="00C36C35" w:rsidP="00C36C35">
            <w:pPr>
              <w:spacing w:line="276" w:lineRule="auto"/>
              <w:rPr>
                <w:rFonts w:ascii="Times New Roman" w:hAnsi="Times New Roman" w:cs="Times New Roman"/>
                <w:sz w:val="20"/>
                <w:szCs w:val="20"/>
              </w:rPr>
            </w:pPr>
            <w:r w:rsidRPr="00BE33C2">
              <w:rPr>
                <w:rFonts w:ascii="Times New Roman" w:hAnsi="Times New Roman" w:cs="Times New Roman"/>
                <w:sz w:val="20"/>
                <w:szCs w:val="20"/>
              </w:rPr>
              <w:t>***</w:t>
            </w:r>
          </w:p>
        </w:tc>
        <w:tc>
          <w:tcPr>
            <w:tcW w:w="1676" w:type="dxa"/>
            <w:tcBorders>
              <w:left w:val="single" w:sz="4" w:space="0" w:color="auto"/>
            </w:tcBorders>
            <w:noWrap/>
            <w:hideMark/>
          </w:tcPr>
          <w:p w:rsidR="00C36C35" w:rsidRPr="00BE33C2" w:rsidRDefault="00C36C35" w:rsidP="00C36C35">
            <w:pPr>
              <w:spacing w:line="276" w:lineRule="auto"/>
              <w:jc w:val="both"/>
              <w:rPr>
                <w:rFonts w:ascii="Times New Roman" w:hAnsi="Times New Roman" w:cs="Times New Roman"/>
                <w:sz w:val="20"/>
                <w:szCs w:val="20"/>
              </w:rPr>
            </w:pPr>
          </w:p>
        </w:tc>
        <w:tc>
          <w:tcPr>
            <w:tcW w:w="1327" w:type="dxa"/>
            <w:noWrap/>
            <w:hideMark/>
          </w:tcPr>
          <w:p w:rsidR="00C36C35" w:rsidRPr="00BE33C2" w:rsidRDefault="00C36C35" w:rsidP="00C36C35">
            <w:pPr>
              <w:spacing w:line="276" w:lineRule="auto"/>
              <w:jc w:val="right"/>
              <w:rPr>
                <w:rFonts w:ascii="Times New Roman" w:hAnsi="Times New Roman" w:cs="Times New Roman"/>
                <w:sz w:val="20"/>
                <w:szCs w:val="20"/>
              </w:rPr>
            </w:pPr>
          </w:p>
        </w:tc>
        <w:tc>
          <w:tcPr>
            <w:tcW w:w="516" w:type="dxa"/>
            <w:tcBorders>
              <w:right w:val="single" w:sz="4" w:space="0" w:color="auto"/>
            </w:tcBorders>
            <w:noWrap/>
            <w:hideMark/>
          </w:tcPr>
          <w:p w:rsidR="00C36C35" w:rsidRPr="00BE33C2" w:rsidRDefault="00C36C35" w:rsidP="00C36C35">
            <w:pPr>
              <w:spacing w:line="276" w:lineRule="auto"/>
              <w:rPr>
                <w:rFonts w:ascii="Times New Roman" w:hAnsi="Times New Roman" w:cs="Times New Roman"/>
                <w:sz w:val="20"/>
                <w:szCs w:val="20"/>
              </w:rPr>
            </w:pPr>
          </w:p>
        </w:tc>
      </w:tr>
      <w:tr w:rsidR="00C36C35" w:rsidRPr="00BE33C2" w:rsidTr="00C36C35">
        <w:trPr>
          <w:trHeight w:val="285"/>
        </w:trPr>
        <w:tc>
          <w:tcPr>
            <w:tcW w:w="1668" w:type="dxa"/>
            <w:tcBorders>
              <w:left w:val="single" w:sz="4" w:space="0" w:color="auto"/>
              <w:bottom w:val="single" w:sz="4" w:space="0" w:color="auto"/>
            </w:tcBorders>
            <w:noWrap/>
            <w:hideMark/>
          </w:tcPr>
          <w:p w:rsidR="00C36C35" w:rsidRPr="00BE33C2" w:rsidRDefault="00C36C35" w:rsidP="00511154">
            <w:pPr>
              <w:spacing w:line="276" w:lineRule="auto"/>
              <w:jc w:val="both"/>
              <w:rPr>
                <w:rFonts w:ascii="Times New Roman" w:hAnsi="Times New Roman" w:cs="Times New Roman"/>
                <w:bCs/>
                <w:sz w:val="20"/>
                <w:szCs w:val="20"/>
              </w:rPr>
            </w:pPr>
            <w:r w:rsidRPr="00BE33C2">
              <w:rPr>
                <w:rFonts w:ascii="Times New Roman" w:hAnsi="Times New Roman" w:cs="Times New Roman"/>
                <w:bCs/>
                <w:sz w:val="20"/>
                <w:szCs w:val="20"/>
              </w:rPr>
              <w:t>LPKB</w:t>
            </w:r>
          </w:p>
        </w:tc>
        <w:tc>
          <w:tcPr>
            <w:tcW w:w="1327" w:type="dxa"/>
            <w:tcBorders>
              <w:bottom w:val="single" w:sz="4" w:space="0" w:color="auto"/>
            </w:tcBorders>
            <w:noWrap/>
            <w:hideMark/>
          </w:tcPr>
          <w:p w:rsidR="00C36C35" w:rsidRPr="00BE33C2" w:rsidRDefault="00C36C35" w:rsidP="00C36C35">
            <w:pPr>
              <w:spacing w:line="276" w:lineRule="auto"/>
              <w:jc w:val="right"/>
              <w:rPr>
                <w:rFonts w:ascii="Times New Roman" w:hAnsi="Times New Roman" w:cs="Times New Roman"/>
                <w:bCs/>
                <w:sz w:val="20"/>
                <w:szCs w:val="20"/>
              </w:rPr>
            </w:pPr>
            <w:r w:rsidRPr="00BE33C2">
              <w:rPr>
                <w:rFonts w:ascii="Times New Roman" w:hAnsi="Times New Roman" w:cs="Times New Roman"/>
                <w:bCs/>
                <w:sz w:val="20"/>
                <w:szCs w:val="20"/>
              </w:rPr>
              <w:t>-4,345</w:t>
            </w:r>
          </w:p>
        </w:tc>
        <w:tc>
          <w:tcPr>
            <w:tcW w:w="516" w:type="dxa"/>
            <w:tcBorders>
              <w:bottom w:val="single" w:sz="4" w:space="0" w:color="auto"/>
              <w:right w:val="single" w:sz="4" w:space="0" w:color="auto"/>
            </w:tcBorders>
            <w:noWrap/>
            <w:hideMark/>
          </w:tcPr>
          <w:p w:rsidR="00C36C35" w:rsidRPr="00BE33C2" w:rsidRDefault="00C36C35" w:rsidP="00C36C35">
            <w:pPr>
              <w:spacing w:line="276" w:lineRule="auto"/>
              <w:rPr>
                <w:rFonts w:ascii="Times New Roman" w:hAnsi="Times New Roman" w:cs="Times New Roman"/>
                <w:sz w:val="20"/>
                <w:szCs w:val="20"/>
              </w:rPr>
            </w:pPr>
            <w:r w:rsidRPr="00BE33C2">
              <w:rPr>
                <w:rFonts w:ascii="Times New Roman" w:hAnsi="Times New Roman" w:cs="Times New Roman"/>
                <w:sz w:val="20"/>
                <w:szCs w:val="20"/>
              </w:rPr>
              <w:t>***</w:t>
            </w:r>
          </w:p>
        </w:tc>
        <w:tc>
          <w:tcPr>
            <w:tcW w:w="1676" w:type="dxa"/>
            <w:tcBorders>
              <w:left w:val="single" w:sz="4" w:space="0" w:color="auto"/>
              <w:bottom w:val="single" w:sz="4" w:space="0" w:color="auto"/>
            </w:tcBorders>
            <w:noWrap/>
            <w:hideMark/>
          </w:tcPr>
          <w:p w:rsidR="00C36C35" w:rsidRPr="00BE33C2" w:rsidRDefault="00C36C35" w:rsidP="00511154">
            <w:pPr>
              <w:spacing w:line="276" w:lineRule="auto"/>
              <w:jc w:val="both"/>
              <w:rPr>
                <w:rFonts w:ascii="Times New Roman" w:hAnsi="Times New Roman" w:cs="Times New Roman"/>
                <w:bCs/>
                <w:sz w:val="20"/>
                <w:szCs w:val="20"/>
              </w:rPr>
            </w:pPr>
            <w:r w:rsidRPr="00BE33C2">
              <w:rPr>
                <w:rFonts w:ascii="Times New Roman" w:hAnsi="Times New Roman" w:cs="Times New Roman"/>
                <w:bCs/>
                <w:sz w:val="20"/>
                <w:szCs w:val="20"/>
              </w:rPr>
              <w:t>LPKB</w:t>
            </w:r>
          </w:p>
        </w:tc>
        <w:tc>
          <w:tcPr>
            <w:tcW w:w="1327" w:type="dxa"/>
            <w:tcBorders>
              <w:bottom w:val="single" w:sz="4" w:space="0" w:color="auto"/>
            </w:tcBorders>
            <w:noWrap/>
            <w:hideMark/>
          </w:tcPr>
          <w:p w:rsidR="00C36C35" w:rsidRPr="00BE33C2" w:rsidRDefault="00C36C35" w:rsidP="00C36C35">
            <w:pPr>
              <w:spacing w:line="276" w:lineRule="auto"/>
              <w:jc w:val="right"/>
              <w:rPr>
                <w:rFonts w:ascii="Times New Roman" w:hAnsi="Times New Roman" w:cs="Times New Roman"/>
                <w:bCs/>
                <w:sz w:val="20"/>
                <w:szCs w:val="20"/>
              </w:rPr>
            </w:pPr>
            <w:r w:rsidRPr="00BE33C2">
              <w:rPr>
                <w:rFonts w:ascii="Times New Roman" w:hAnsi="Times New Roman" w:cs="Times New Roman"/>
                <w:bCs/>
                <w:sz w:val="20"/>
                <w:szCs w:val="20"/>
              </w:rPr>
              <w:t>-4,155</w:t>
            </w:r>
          </w:p>
        </w:tc>
        <w:tc>
          <w:tcPr>
            <w:tcW w:w="516" w:type="dxa"/>
            <w:tcBorders>
              <w:bottom w:val="single" w:sz="4" w:space="0" w:color="auto"/>
              <w:right w:val="single" w:sz="4" w:space="0" w:color="auto"/>
            </w:tcBorders>
            <w:noWrap/>
            <w:hideMark/>
          </w:tcPr>
          <w:p w:rsidR="00C36C35" w:rsidRPr="00BE33C2" w:rsidRDefault="00C36C35" w:rsidP="00C36C35">
            <w:pPr>
              <w:spacing w:line="276" w:lineRule="auto"/>
              <w:rPr>
                <w:rFonts w:ascii="Times New Roman" w:hAnsi="Times New Roman" w:cs="Times New Roman"/>
                <w:bCs/>
                <w:sz w:val="20"/>
                <w:szCs w:val="20"/>
              </w:rPr>
            </w:pPr>
            <w:r w:rsidRPr="00BE33C2">
              <w:rPr>
                <w:rFonts w:ascii="Times New Roman" w:hAnsi="Times New Roman" w:cs="Times New Roman"/>
                <w:bCs/>
                <w:sz w:val="20"/>
                <w:szCs w:val="20"/>
              </w:rPr>
              <w:t>***</w:t>
            </w:r>
          </w:p>
        </w:tc>
      </w:tr>
    </w:tbl>
    <w:p w:rsidR="00C36C35" w:rsidRDefault="00BE33C2" w:rsidP="00BE33C2">
      <w:pPr>
        <w:spacing w:after="0"/>
        <w:jc w:val="both"/>
        <w:rPr>
          <w:rFonts w:ascii="Times New Roman" w:hAnsi="Times New Roman" w:cs="Times New Roman"/>
          <w:sz w:val="20"/>
          <w:szCs w:val="24"/>
          <w:lang w:val="pl-PL"/>
        </w:rPr>
      </w:pPr>
      <w:r>
        <w:rPr>
          <w:rFonts w:ascii="Times New Roman" w:hAnsi="Times New Roman" w:cs="Times New Roman"/>
          <w:sz w:val="20"/>
          <w:szCs w:val="24"/>
          <w:lang w:val="pl-PL"/>
        </w:rPr>
        <w:t xml:space="preserve">Uwaga: </w:t>
      </w:r>
      <w:r w:rsidRPr="00BE33C2">
        <w:rPr>
          <w:rFonts w:ascii="Times New Roman" w:hAnsi="Times New Roman" w:cs="Times New Roman"/>
          <w:sz w:val="20"/>
          <w:szCs w:val="24"/>
          <w:lang w:val="pl-PL"/>
        </w:rPr>
        <w:t xml:space="preserve">Oznaczenie kategorii wydatków: GF5- na ochronę środowiska, GF6- na </w:t>
      </w:r>
      <w:r w:rsidR="00820759">
        <w:rPr>
          <w:rFonts w:ascii="Times New Roman" w:hAnsi="Times New Roman" w:cs="Times New Roman"/>
          <w:sz w:val="20"/>
          <w:szCs w:val="24"/>
          <w:lang w:val="pl-PL"/>
        </w:rPr>
        <w:t xml:space="preserve">gospodarkę </w:t>
      </w:r>
      <w:proofErr w:type="spellStart"/>
      <w:r w:rsidR="00820759">
        <w:rPr>
          <w:rFonts w:ascii="Times New Roman" w:hAnsi="Times New Roman" w:cs="Times New Roman"/>
          <w:sz w:val="20"/>
          <w:szCs w:val="24"/>
          <w:lang w:val="pl-PL"/>
        </w:rPr>
        <w:t>mieszkaoniową</w:t>
      </w:r>
      <w:proofErr w:type="spellEnd"/>
      <w:r w:rsidRPr="00BE33C2">
        <w:rPr>
          <w:rFonts w:ascii="Times New Roman" w:hAnsi="Times New Roman" w:cs="Times New Roman"/>
          <w:sz w:val="20"/>
          <w:szCs w:val="24"/>
          <w:lang w:val="pl-PL"/>
        </w:rPr>
        <w:t xml:space="preserve">, GF7- na ochronę zdrowia, </w:t>
      </w:r>
      <w:r w:rsidR="006C3462">
        <w:rPr>
          <w:rFonts w:ascii="Times New Roman" w:hAnsi="Times New Roman" w:cs="Times New Roman"/>
          <w:sz w:val="20"/>
          <w:szCs w:val="24"/>
          <w:lang w:val="pl-PL"/>
        </w:rPr>
        <w:t>GF10-na ochronę socjalną</w:t>
      </w:r>
      <w:r w:rsidRPr="00BE33C2">
        <w:rPr>
          <w:rFonts w:ascii="Times New Roman" w:hAnsi="Times New Roman" w:cs="Times New Roman"/>
          <w:sz w:val="20"/>
          <w:szCs w:val="24"/>
          <w:lang w:val="pl-PL"/>
        </w:rPr>
        <w:t>.</w:t>
      </w:r>
      <w:r>
        <w:rPr>
          <w:rFonts w:ascii="Times New Roman" w:hAnsi="Times New Roman" w:cs="Times New Roman"/>
          <w:sz w:val="20"/>
          <w:szCs w:val="24"/>
          <w:lang w:val="pl-PL"/>
        </w:rPr>
        <w:t xml:space="preserve"> </w:t>
      </w:r>
      <w:proofErr w:type="spellStart"/>
      <w:r>
        <w:rPr>
          <w:rFonts w:ascii="Times New Roman" w:hAnsi="Times New Roman" w:cs="Times New Roman"/>
          <w:sz w:val="20"/>
          <w:szCs w:val="24"/>
          <w:lang w:val="pl-PL"/>
        </w:rPr>
        <w:t>uGF</w:t>
      </w:r>
      <w:r w:rsidRPr="00BE33C2">
        <w:rPr>
          <w:rFonts w:ascii="Times New Roman" w:hAnsi="Times New Roman" w:cs="Times New Roman"/>
          <w:sz w:val="20"/>
          <w:szCs w:val="24"/>
          <w:vertAlign w:val="subscript"/>
          <w:lang w:val="pl-PL"/>
        </w:rPr>
        <w:t>j</w:t>
      </w:r>
      <w:proofErr w:type="spellEnd"/>
      <w:r>
        <w:rPr>
          <w:rFonts w:ascii="Times New Roman" w:hAnsi="Times New Roman" w:cs="Times New Roman"/>
          <w:sz w:val="20"/>
          <w:szCs w:val="24"/>
          <w:lang w:val="pl-PL"/>
        </w:rPr>
        <w:t xml:space="preserve"> oznacza udział kategorii j w strukturze wydatków, </w:t>
      </w:r>
      <w:proofErr w:type="spellStart"/>
      <w:r>
        <w:rPr>
          <w:rFonts w:ascii="Times New Roman" w:hAnsi="Times New Roman" w:cs="Times New Roman"/>
          <w:sz w:val="20"/>
          <w:szCs w:val="24"/>
          <w:lang w:val="pl-PL"/>
        </w:rPr>
        <w:t>GF</w:t>
      </w:r>
      <w:r w:rsidRPr="00BE33C2">
        <w:rPr>
          <w:rFonts w:ascii="Times New Roman" w:hAnsi="Times New Roman" w:cs="Times New Roman"/>
          <w:sz w:val="20"/>
          <w:szCs w:val="24"/>
          <w:vertAlign w:val="subscript"/>
          <w:lang w:val="pl-PL"/>
        </w:rPr>
        <w:t>j</w:t>
      </w:r>
      <w:proofErr w:type="spellEnd"/>
      <w:r>
        <w:rPr>
          <w:rFonts w:ascii="Times New Roman" w:hAnsi="Times New Roman" w:cs="Times New Roman"/>
          <w:sz w:val="20"/>
          <w:szCs w:val="24"/>
          <w:lang w:val="pl-PL"/>
        </w:rPr>
        <w:t xml:space="preserve"> oznacza poziom wydatków z kategorii j w relacji do PKB.</w:t>
      </w:r>
      <w:r w:rsidR="006C3462">
        <w:rPr>
          <w:rFonts w:ascii="Times New Roman" w:hAnsi="Times New Roman" w:cs="Times New Roman"/>
          <w:sz w:val="20"/>
          <w:szCs w:val="24"/>
          <w:lang w:val="pl-PL"/>
        </w:rPr>
        <w:t xml:space="preserve"> </w:t>
      </w:r>
    </w:p>
    <w:p w:rsidR="00BE33C2" w:rsidRPr="00BE33C2" w:rsidRDefault="00BE33C2" w:rsidP="00BE33C2">
      <w:pPr>
        <w:spacing w:after="0"/>
        <w:jc w:val="both"/>
        <w:rPr>
          <w:rFonts w:ascii="Times New Roman" w:hAnsi="Times New Roman" w:cs="Times New Roman"/>
          <w:sz w:val="20"/>
          <w:szCs w:val="24"/>
          <w:lang w:val="pl-PL"/>
        </w:rPr>
      </w:pPr>
      <w:r>
        <w:rPr>
          <w:rFonts w:ascii="Times New Roman" w:hAnsi="Times New Roman" w:cs="Times New Roman"/>
          <w:sz w:val="20"/>
          <w:szCs w:val="24"/>
          <w:lang w:val="pl-PL"/>
        </w:rPr>
        <w:t>***, **, * oznacza poziom istotności, odpowiednio 1%, 5% i 10%.</w:t>
      </w:r>
    </w:p>
    <w:p w:rsidR="00820759" w:rsidRPr="00820759" w:rsidRDefault="00820759" w:rsidP="00820759">
      <w:pPr>
        <w:spacing w:line="360" w:lineRule="auto"/>
        <w:jc w:val="both"/>
        <w:rPr>
          <w:rFonts w:ascii="Times New Roman" w:hAnsi="Times New Roman" w:cs="Times New Roman"/>
          <w:sz w:val="20"/>
          <w:szCs w:val="24"/>
          <w:lang w:val="pl-PL"/>
        </w:rPr>
      </w:pPr>
      <w:r>
        <w:rPr>
          <w:rFonts w:ascii="Times New Roman" w:hAnsi="Times New Roman" w:cs="Times New Roman"/>
          <w:sz w:val="20"/>
          <w:szCs w:val="24"/>
          <w:lang w:val="pl-PL"/>
        </w:rPr>
        <w:t>Źródło: opracowanie własne.</w:t>
      </w:r>
    </w:p>
    <w:p w:rsidR="00511154" w:rsidRPr="00511154" w:rsidRDefault="00511154" w:rsidP="002C1118">
      <w:pPr>
        <w:spacing w:after="0" w:line="360" w:lineRule="auto"/>
        <w:jc w:val="both"/>
        <w:rPr>
          <w:rFonts w:ascii="Times New Roman" w:hAnsi="Times New Roman" w:cs="Times New Roman"/>
          <w:sz w:val="20"/>
          <w:szCs w:val="24"/>
          <w:lang w:val="pl-PL"/>
        </w:rPr>
      </w:pPr>
      <w:r w:rsidRPr="00A23EDF">
        <w:rPr>
          <w:rFonts w:ascii="Times New Roman" w:hAnsi="Times New Roman" w:cs="Times New Roman"/>
          <w:sz w:val="20"/>
          <w:szCs w:val="24"/>
          <w:lang w:val="pl-PL"/>
        </w:rPr>
        <w:lastRenderedPageBreak/>
        <w:t xml:space="preserve">Tabela </w:t>
      </w:r>
      <w:r w:rsidR="00CE3C2C">
        <w:rPr>
          <w:rFonts w:ascii="Times New Roman" w:hAnsi="Times New Roman" w:cs="Times New Roman"/>
          <w:sz w:val="20"/>
          <w:szCs w:val="24"/>
          <w:lang w:val="pl-PL"/>
        </w:rPr>
        <w:t>4</w:t>
      </w:r>
      <w:r>
        <w:rPr>
          <w:rFonts w:ascii="Times New Roman" w:hAnsi="Times New Roman" w:cs="Times New Roman"/>
          <w:sz w:val="20"/>
          <w:szCs w:val="24"/>
          <w:lang w:val="pl-PL"/>
        </w:rPr>
        <w:t xml:space="preserve">. </w:t>
      </w:r>
      <w:r w:rsidRPr="00A23EDF">
        <w:rPr>
          <w:rFonts w:ascii="Times New Roman" w:hAnsi="Times New Roman" w:cs="Times New Roman"/>
          <w:sz w:val="20"/>
          <w:szCs w:val="24"/>
          <w:lang w:val="pl-PL"/>
        </w:rPr>
        <w:t xml:space="preserve">Wyniki regresji (model panelowy </w:t>
      </w:r>
      <w:r w:rsidR="00820759">
        <w:rPr>
          <w:rFonts w:ascii="Times New Roman" w:hAnsi="Times New Roman" w:cs="Times New Roman"/>
          <w:sz w:val="20"/>
          <w:szCs w:val="24"/>
          <w:lang w:val="pl-PL"/>
        </w:rPr>
        <w:t>ze stałymi efektami</w:t>
      </w:r>
      <w:r w:rsidRPr="00A23EDF">
        <w:rPr>
          <w:rFonts w:ascii="Times New Roman" w:hAnsi="Times New Roman" w:cs="Times New Roman"/>
          <w:sz w:val="20"/>
          <w:szCs w:val="24"/>
          <w:lang w:val="pl-PL"/>
        </w:rPr>
        <w:t>), zmienna objaśniana</w:t>
      </w:r>
      <w:r>
        <w:rPr>
          <w:rFonts w:ascii="Times New Roman" w:hAnsi="Times New Roman" w:cs="Times New Roman"/>
          <w:sz w:val="20"/>
          <w:szCs w:val="24"/>
          <w:lang w:val="pl-PL"/>
        </w:rPr>
        <w:t>: wzrost PKB</w:t>
      </w:r>
    </w:p>
    <w:tbl>
      <w:tblPr>
        <w:tblW w:w="8946"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1"/>
        <w:gridCol w:w="992"/>
        <w:gridCol w:w="567"/>
        <w:gridCol w:w="993"/>
        <w:gridCol w:w="567"/>
        <w:gridCol w:w="1275"/>
        <w:gridCol w:w="993"/>
        <w:gridCol w:w="516"/>
        <w:gridCol w:w="1043"/>
        <w:gridCol w:w="709"/>
      </w:tblGrid>
      <w:tr w:rsidR="0036268B" w:rsidRPr="00511154" w:rsidTr="0036268B">
        <w:trPr>
          <w:trHeight w:val="285"/>
        </w:trPr>
        <w:tc>
          <w:tcPr>
            <w:tcW w:w="1291" w:type="dxa"/>
            <w:tcBorders>
              <w:top w:val="single" w:sz="4" w:space="0" w:color="auto"/>
              <w:bottom w:val="single" w:sz="4" w:space="0" w:color="auto"/>
            </w:tcBorders>
            <w:shd w:val="clear" w:color="auto" w:fill="auto"/>
            <w:noWrap/>
            <w:vAlign w:val="center"/>
          </w:tcPr>
          <w:p w:rsidR="00511154" w:rsidRPr="00BE33C2" w:rsidRDefault="00511154" w:rsidP="00820759">
            <w:pPr>
              <w:spacing w:after="0"/>
              <w:jc w:val="center"/>
              <w:rPr>
                <w:rFonts w:ascii="Times New Roman" w:hAnsi="Times New Roman" w:cs="Times New Roman"/>
                <w:sz w:val="20"/>
                <w:szCs w:val="20"/>
              </w:rPr>
            </w:pPr>
            <w:proofErr w:type="spellStart"/>
            <w:r w:rsidRPr="00BE33C2">
              <w:rPr>
                <w:rFonts w:ascii="Times New Roman" w:hAnsi="Times New Roman" w:cs="Times New Roman"/>
                <w:sz w:val="20"/>
                <w:szCs w:val="20"/>
              </w:rPr>
              <w:t>Zmienna</w:t>
            </w:r>
            <w:proofErr w:type="spellEnd"/>
          </w:p>
        </w:tc>
        <w:tc>
          <w:tcPr>
            <w:tcW w:w="992" w:type="dxa"/>
            <w:tcBorders>
              <w:top w:val="single" w:sz="4" w:space="0" w:color="auto"/>
              <w:bottom w:val="single" w:sz="4" w:space="0" w:color="auto"/>
            </w:tcBorders>
            <w:shd w:val="clear" w:color="auto" w:fill="auto"/>
            <w:noWrap/>
            <w:vAlign w:val="center"/>
          </w:tcPr>
          <w:p w:rsidR="00511154" w:rsidRPr="00BE33C2" w:rsidRDefault="00511154" w:rsidP="00820759">
            <w:pPr>
              <w:spacing w:after="0"/>
              <w:jc w:val="right"/>
              <w:rPr>
                <w:rFonts w:ascii="Times New Roman" w:hAnsi="Times New Roman" w:cs="Times New Roman"/>
                <w:sz w:val="20"/>
                <w:szCs w:val="20"/>
              </w:rPr>
            </w:pPr>
            <w:r>
              <w:rPr>
                <w:rFonts w:ascii="Times New Roman" w:hAnsi="Times New Roman" w:cs="Times New Roman"/>
                <w:sz w:val="20"/>
                <w:szCs w:val="20"/>
              </w:rPr>
              <w:t>Model 1a</w:t>
            </w:r>
          </w:p>
        </w:tc>
        <w:tc>
          <w:tcPr>
            <w:tcW w:w="567" w:type="dxa"/>
            <w:tcBorders>
              <w:top w:val="single" w:sz="4" w:space="0" w:color="auto"/>
              <w:bottom w:val="single" w:sz="4" w:space="0" w:color="auto"/>
            </w:tcBorders>
            <w:shd w:val="clear" w:color="auto" w:fill="auto"/>
            <w:noWrap/>
            <w:vAlign w:val="center"/>
          </w:tcPr>
          <w:p w:rsidR="00511154" w:rsidRPr="00511154" w:rsidRDefault="00511154" w:rsidP="00820759">
            <w:pPr>
              <w:spacing w:after="0" w:line="240" w:lineRule="auto"/>
              <w:jc w:val="right"/>
              <w:rPr>
                <w:rFonts w:ascii="Times New Roman" w:eastAsia="Times New Roman" w:hAnsi="Times New Roman" w:cs="Times New Roman"/>
                <w:sz w:val="20"/>
                <w:szCs w:val="20"/>
              </w:rPr>
            </w:pPr>
          </w:p>
        </w:tc>
        <w:tc>
          <w:tcPr>
            <w:tcW w:w="993" w:type="dxa"/>
            <w:tcBorders>
              <w:top w:val="single" w:sz="4" w:space="0" w:color="auto"/>
              <w:bottom w:val="single" w:sz="4" w:space="0" w:color="auto"/>
            </w:tcBorders>
            <w:shd w:val="clear" w:color="auto" w:fill="auto"/>
            <w:noWrap/>
            <w:vAlign w:val="center"/>
          </w:tcPr>
          <w:p w:rsidR="00511154" w:rsidRPr="00511154" w:rsidRDefault="00511154" w:rsidP="0082075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Model 1b</w:t>
            </w:r>
          </w:p>
        </w:tc>
        <w:tc>
          <w:tcPr>
            <w:tcW w:w="567" w:type="dxa"/>
            <w:tcBorders>
              <w:top w:val="single" w:sz="4" w:space="0" w:color="auto"/>
              <w:bottom w:val="single" w:sz="4" w:space="0" w:color="auto"/>
              <w:right w:val="single" w:sz="4" w:space="0" w:color="auto"/>
            </w:tcBorders>
            <w:shd w:val="clear" w:color="auto" w:fill="auto"/>
            <w:noWrap/>
            <w:vAlign w:val="center"/>
          </w:tcPr>
          <w:p w:rsidR="00511154" w:rsidRPr="00511154" w:rsidRDefault="00511154" w:rsidP="00820759">
            <w:pPr>
              <w:spacing w:after="0" w:line="240" w:lineRule="auto"/>
              <w:jc w:val="center"/>
              <w:rPr>
                <w:rFonts w:ascii="Times New Roman" w:eastAsia="Times New Roman" w:hAnsi="Times New Roman" w:cs="Times New Roman"/>
                <w:sz w:val="20"/>
                <w:szCs w:val="20"/>
              </w:rPr>
            </w:pPr>
          </w:p>
        </w:tc>
        <w:tc>
          <w:tcPr>
            <w:tcW w:w="1275" w:type="dxa"/>
            <w:tcBorders>
              <w:top w:val="single" w:sz="4" w:space="0" w:color="auto"/>
              <w:left w:val="single" w:sz="4" w:space="0" w:color="auto"/>
              <w:bottom w:val="single" w:sz="4" w:space="0" w:color="auto"/>
            </w:tcBorders>
            <w:shd w:val="clear" w:color="auto" w:fill="auto"/>
            <w:noWrap/>
            <w:vAlign w:val="center"/>
          </w:tcPr>
          <w:p w:rsidR="00511154" w:rsidRPr="00511154" w:rsidRDefault="00820759" w:rsidP="00820759">
            <w:pPr>
              <w:spacing w:after="0" w:line="240" w:lineRule="auto"/>
              <w:jc w:val="center"/>
              <w:rPr>
                <w:rFonts w:ascii="Times New Roman" w:eastAsia="Times New Roman" w:hAnsi="Times New Roman" w:cs="Times New Roman"/>
                <w:sz w:val="20"/>
                <w:szCs w:val="20"/>
              </w:rPr>
            </w:pPr>
            <w:proofErr w:type="spellStart"/>
            <w:r w:rsidRPr="00BE33C2">
              <w:rPr>
                <w:rFonts w:ascii="Times New Roman" w:hAnsi="Times New Roman" w:cs="Times New Roman"/>
                <w:sz w:val="20"/>
                <w:szCs w:val="20"/>
              </w:rPr>
              <w:t>Zmienna</w:t>
            </w:r>
            <w:proofErr w:type="spellEnd"/>
          </w:p>
        </w:tc>
        <w:tc>
          <w:tcPr>
            <w:tcW w:w="993" w:type="dxa"/>
            <w:tcBorders>
              <w:top w:val="single" w:sz="4" w:space="0" w:color="auto"/>
              <w:bottom w:val="single" w:sz="4" w:space="0" w:color="auto"/>
            </w:tcBorders>
            <w:shd w:val="clear" w:color="auto" w:fill="auto"/>
            <w:noWrap/>
            <w:vAlign w:val="center"/>
          </w:tcPr>
          <w:p w:rsidR="00511154" w:rsidRPr="00511154" w:rsidRDefault="00511154" w:rsidP="0082075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Model 2a</w:t>
            </w:r>
          </w:p>
        </w:tc>
        <w:tc>
          <w:tcPr>
            <w:tcW w:w="516" w:type="dxa"/>
            <w:tcBorders>
              <w:top w:val="single" w:sz="4" w:space="0" w:color="auto"/>
              <w:bottom w:val="single" w:sz="4" w:space="0" w:color="auto"/>
            </w:tcBorders>
            <w:shd w:val="clear" w:color="auto" w:fill="auto"/>
            <w:noWrap/>
            <w:vAlign w:val="center"/>
          </w:tcPr>
          <w:p w:rsidR="00511154" w:rsidRPr="00511154" w:rsidRDefault="00511154" w:rsidP="00820759">
            <w:pPr>
              <w:spacing w:after="0" w:line="240" w:lineRule="auto"/>
              <w:jc w:val="right"/>
              <w:rPr>
                <w:rFonts w:ascii="Times New Roman" w:eastAsia="Times New Roman" w:hAnsi="Times New Roman" w:cs="Times New Roman"/>
                <w:sz w:val="20"/>
                <w:szCs w:val="20"/>
              </w:rPr>
            </w:pPr>
          </w:p>
        </w:tc>
        <w:tc>
          <w:tcPr>
            <w:tcW w:w="1043" w:type="dxa"/>
            <w:tcBorders>
              <w:top w:val="single" w:sz="4" w:space="0" w:color="auto"/>
              <w:bottom w:val="single" w:sz="4" w:space="0" w:color="auto"/>
            </w:tcBorders>
            <w:shd w:val="clear" w:color="auto" w:fill="auto"/>
            <w:noWrap/>
            <w:vAlign w:val="center"/>
          </w:tcPr>
          <w:p w:rsidR="00511154" w:rsidRPr="00511154" w:rsidRDefault="00511154" w:rsidP="0082075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Model 2b</w:t>
            </w:r>
          </w:p>
        </w:tc>
        <w:tc>
          <w:tcPr>
            <w:tcW w:w="709" w:type="dxa"/>
            <w:tcBorders>
              <w:top w:val="single" w:sz="4" w:space="0" w:color="auto"/>
              <w:bottom w:val="single" w:sz="4" w:space="0" w:color="auto"/>
            </w:tcBorders>
            <w:shd w:val="clear" w:color="auto" w:fill="auto"/>
            <w:noWrap/>
            <w:vAlign w:val="center"/>
          </w:tcPr>
          <w:p w:rsidR="00511154" w:rsidRPr="00511154" w:rsidRDefault="00511154" w:rsidP="00820759">
            <w:pPr>
              <w:spacing w:after="0" w:line="240" w:lineRule="auto"/>
              <w:jc w:val="center"/>
              <w:rPr>
                <w:rFonts w:ascii="Times New Roman" w:eastAsia="Times New Roman" w:hAnsi="Times New Roman" w:cs="Times New Roman"/>
                <w:sz w:val="20"/>
                <w:szCs w:val="20"/>
              </w:rPr>
            </w:pPr>
          </w:p>
        </w:tc>
      </w:tr>
      <w:tr w:rsidR="00511154" w:rsidRPr="00511154" w:rsidTr="0036268B">
        <w:trPr>
          <w:trHeight w:val="285"/>
        </w:trPr>
        <w:tc>
          <w:tcPr>
            <w:tcW w:w="1291" w:type="dxa"/>
            <w:tcBorders>
              <w:top w:val="single" w:sz="4" w:space="0" w:color="auto"/>
              <w:bottom w:val="nil"/>
            </w:tcBorders>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proofErr w:type="spellStart"/>
            <w:r w:rsidRPr="00511154">
              <w:rPr>
                <w:rFonts w:ascii="Times New Roman" w:eastAsia="Times New Roman" w:hAnsi="Times New Roman" w:cs="Times New Roman"/>
                <w:sz w:val="20"/>
                <w:szCs w:val="20"/>
              </w:rPr>
              <w:t>wyraz</w:t>
            </w:r>
            <w:proofErr w:type="spellEnd"/>
            <w:r w:rsidRPr="00511154">
              <w:rPr>
                <w:rFonts w:ascii="Times New Roman" w:eastAsia="Times New Roman" w:hAnsi="Times New Roman" w:cs="Times New Roman"/>
                <w:sz w:val="20"/>
                <w:szCs w:val="20"/>
              </w:rPr>
              <w:t xml:space="preserve"> </w:t>
            </w:r>
            <w:proofErr w:type="spellStart"/>
            <w:r w:rsidRPr="00511154">
              <w:rPr>
                <w:rFonts w:ascii="Times New Roman" w:eastAsia="Times New Roman" w:hAnsi="Times New Roman" w:cs="Times New Roman"/>
                <w:sz w:val="20"/>
                <w:szCs w:val="20"/>
              </w:rPr>
              <w:t>wolny</w:t>
            </w:r>
            <w:proofErr w:type="spellEnd"/>
          </w:p>
        </w:tc>
        <w:tc>
          <w:tcPr>
            <w:tcW w:w="992" w:type="dxa"/>
            <w:tcBorders>
              <w:top w:val="single" w:sz="4" w:space="0" w:color="auto"/>
              <w:bottom w:val="nil"/>
            </w:tcBorders>
            <w:shd w:val="clear" w:color="auto" w:fill="auto"/>
            <w:noWrap/>
            <w:vAlign w:val="bottom"/>
            <w:hideMark/>
          </w:tcPr>
          <w:p w:rsidR="00511154" w:rsidRPr="00511154" w:rsidRDefault="00511154" w:rsidP="00511154">
            <w:pPr>
              <w:spacing w:after="0" w:line="240" w:lineRule="auto"/>
              <w:jc w:val="right"/>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141,237</w:t>
            </w:r>
          </w:p>
        </w:tc>
        <w:tc>
          <w:tcPr>
            <w:tcW w:w="567" w:type="dxa"/>
            <w:tcBorders>
              <w:top w:val="single" w:sz="4" w:space="0" w:color="auto"/>
              <w:bottom w:val="nil"/>
            </w:tcBorders>
            <w:shd w:val="clear" w:color="auto" w:fill="auto"/>
            <w:noWrap/>
            <w:vAlign w:val="bottom"/>
            <w:hideMark/>
          </w:tcPr>
          <w:p w:rsidR="00511154" w:rsidRPr="00511154" w:rsidRDefault="00511154" w:rsidP="00820759">
            <w:pPr>
              <w:spacing w:after="0" w:line="240" w:lineRule="auto"/>
              <w:jc w:val="both"/>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w:t>
            </w:r>
          </w:p>
        </w:tc>
        <w:tc>
          <w:tcPr>
            <w:tcW w:w="993" w:type="dxa"/>
            <w:tcBorders>
              <w:top w:val="single" w:sz="4" w:space="0" w:color="auto"/>
              <w:bottom w:val="nil"/>
            </w:tcBorders>
            <w:shd w:val="clear" w:color="auto" w:fill="auto"/>
            <w:noWrap/>
            <w:vAlign w:val="bottom"/>
            <w:hideMark/>
          </w:tcPr>
          <w:p w:rsidR="00511154" w:rsidRPr="00511154" w:rsidRDefault="00511154" w:rsidP="00511154">
            <w:pPr>
              <w:spacing w:after="0" w:line="240" w:lineRule="auto"/>
              <w:jc w:val="right"/>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142,445</w:t>
            </w:r>
          </w:p>
        </w:tc>
        <w:tc>
          <w:tcPr>
            <w:tcW w:w="567" w:type="dxa"/>
            <w:tcBorders>
              <w:top w:val="single" w:sz="4" w:space="0" w:color="auto"/>
              <w:bottom w:val="nil"/>
              <w:right w:val="single" w:sz="4" w:space="0" w:color="auto"/>
            </w:tcBorders>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w:t>
            </w:r>
          </w:p>
        </w:tc>
        <w:tc>
          <w:tcPr>
            <w:tcW w:w="1275" w:type="dxa"/>
            <w:tcBorders>
              <w:top w:val="single" w:sz="4" w:space="0" w:color="auto"/>
              <w:left w:val="single" w:sz="4" w:space="0" w:color="auto"/>
            </w:tcBorders>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proofErr w:type="spellStart"/>
            <w:r w:rsidRPr="00511154">
              <w:rPr>
                <w:rFonts w:ascii="Times New Roman" w:eastAsia="Times New Roman" w:hAnsi="Times New Roman" w:cs="Times New Roman"/>
                <w:sz w:val="20"/>
                <w:szCs w:val="20"/>
              </w:rPr>
              <w:t>wyraz</w:t>
            </w:r>
            <w:proofErr w:type="spellEnd"/>
            <w:r w:rsidRPr="00511154">
              <w:rPr>
                <w:rFonts w:ascii="Times New Roman" w:eastAsia="Times New Roman" w:hAnsi="Times New Roman" w:cs="Times New Roman"/>
                <w:sz w:val="20"/>
                <w:szCs w:val="20"/>
              </w:rPr>
              <w:t xml:space="preserve"> </w:t>
            </w:r>
            <w:proofErr w:type="spellStart"/>
            <w:r w:rsidRPr="00511154">
              <w:rPr>
                <w:rFonts w:ascii="Times New Roman" w:eastAsia="Times New Roman" w:hAnsi="Times New Roman" w:cs="Times New Roman"/>
                <w:sz w:val="20"/>
                <w:szCs w:val="20"/>
              </w:rPr>
              <w:t>wolny</w:t>
            </w:r>
            <w:proofErr w:type="spellEnd"/>
          </w:p>
        </w:tc>
        <w:tc>
          <w:tcPr>
            <w:tcW w:w="993" w:type="dxa"/>
            <w:tcBorders>
              <w:top w:val="single" w:sz="4" w:space="0" w:color="auto"/>
            </w:tcBorders>
            <w:shd w:val="clear" w:color="auto" w:fill="auto"/>
            <w:noWrap/>
            <w:vAlign w:val="bottom"/>
            <w:hideMark/>
          </w:tcPr>
          <w:p w:rsidR="00511154" w:rsidRPr="00511154" w:rsidRDefault="00511154" w:rsidP="00511154">
            <w:pPr>
              <w:spacing w:after="0" w:line="240" w:lineRule="auto"/>
              <w:jc w:val="right"/>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139,522</w:t>
            </w:r>
          </w:p>
        </w:tc>
        <w:tc>
          <w:tcPr>
            <w:tcW w:w="516" w:type="dxa"/>
            <w:tcBorders>
              <w:top w:val="single" w:sz="4" w:space="0" w:color="auto"/>
            </w:tcBorders>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w:t>
            </w:r>
          </w:p>
        </w:tc>
        <w:tc>
          <w:tcPr>
            <w:tcW w:w="1043" w:type="dxa"/>
            <w:tcBorders>
              <w:top w:val="single" w:sz="4" w:space="0" w:color="auto"/>
            </w:tcBorders>
            <w:shd w:val="clear" w:color="auto" w:fill="auto"/>
            <w:noWrap/>
            <w:vAlign w:val="bottom"/>
            <w:hideMark/>
          </w:tcPr>
          <w:p w:rsidR="00511154" w:rsidRPr="00511154" w:rsidRDefault="00511154" w:rsidP="00511154">
            <w:pPr>
              <w:spacing w:after="0" w:line="240" w:lineRule="auto"/>
              <w:jc w:val="right"/>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136,472</w:t>
            </w:r>
          </w:p>
        </w:tc>
        <w:tc>
          <w:tcPr>
            <w:tcW w:w="709" w:type="dxa"/>
            <w:tcBorders>
              <w:top w:val="single" w:sz="4" w:space="0" w:color="auto"/>
            </w:tcBorders>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w:t>
            </w:r>
          </w:p>
        </w:tc>
      </w:tr>
      <w:tr w:rsidR="00511154" w:rsidRPr="00511154" w:rsidTr="0036268B">
        <w:trPr>
          <w:trHeight w:val="285"/>
        </w:trPr>
        <w:tc>
          <w:tcPr>
            <w:tcW w:w="1291" w:type="dxa"/>
            <w:tcBorders>
              <w:top w:val="nil"/>
              <w:bottom w:val="nil"/>
            </w:tcBorders>
            <w:shd w:val="clear" w:color="auto" w:fill="auto"/>
            <w:noWrap/>
            <w:vAlign w:val="bottom"/>
            <w:hideMark/>
          </w:tcPr>
          <w:p w:rsidR="00511154" w:rsidRPr="00511154" w:rsidRDefault="00511154" w:rsidP="008453A1">
            <w:pPr>
              <w:spacing w:after="0" w:line="240" w:lineRule="auto"/>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LPKB</w:t>
            </w:r>
          </w:p>
        </w:tc>
        <w:tc>
          <w:tcPr>
            <w:tcW w:w="992" w:type="dxa"/>
            <w:tcBorders>
              <w:top w:val="nil"/>
              <w:bottom w:val="nil"/>
            </w:tcBorders>
            <w:shd w:val="clear" w:color="auto" w:fill="auto"/>
            <w:noWrap/>
            <w:vAlign w:val="bottom"/>
            <w:hideMark/>
          </w:tcPr>
          <w:p w:rsidR="00511154" w:rsidRPr="00511154" w:rsidRDefault="00511154" w:rsidP="00511154">
            <w:pPr>
              <w:spacing w:after="0" w:line="240" w:lineRule="auto"/>
              <w:jc w:val="right"/>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-16,043</w:t>
            </w:r>
          </w:p>
        </w:tc>
        <w:tc>
          <w:tcPr>
            <w:tcW w:w="567" w:type="dxa"/>
            <w:tcBorders>
              <w:top w:val="nil"/>
              <w:bottom w:val="nil"/>
            </w:tcBorders>
            <w:shd w:val="clear" w:color="auto" w:fill="auto"/>
            <w:noWrap/>
            <w:vAlign w:val="bottom"/>
            <w:hideMark/>
          </w:tcPr>
          <w:p w:rsidR="00511154" w:rsidRPr="00511154" w:rsidRDefault="00511154" w:rsidP="00820759">
            <w:pPr>
              <w:spacing w:after="0" w:line="240" w:lineRule="auto"/>
              <w:jc w:val="both"/>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w:t>
            </w:r>
          </w:p>
        </w:tc>
        <w:tc>
          <w:tcPr>
            <w:tcW w:w="993" w:type="dxa"/>
            <w:tcBorders>
              <w:top w:val="nil"/>
              <w:bottom w:val="nil"/>
            </w:tcBorders>
            <w:shd w:val="clear" w:color="auto" w:fill="auto"/>
            <w:noWrap/>
            <w:vAlign w:val="bottom"/>
            <w:hideMark/>
          </w:tcPr>
          <w:p w:rsidR="00511154" w:rsidRPr="00511154" w:rsidRDefault="00511154" w:rsidP="00511154">
            <w:pPr>
              <w:spacing w:after="0" w:line="240" w:lineRule="auto"/>
              <w:jc w:val="right"/>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-15,999</w:t>
            </w:r>
          </w:p>
        </w:tc>
        <w:tc>
          <w:tcPr>
            <w:tcW w:w="567" w:type="dxa"/>
            <w:tcBorders>
              <w:top w:val="nil"/>
              <w:bottom w:val="nil"/>
              <w:right w:val="single" w:sz="4" w:space="0" w:color="auto"/>
            </w:tcBorders>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w:t>
            </w:r>
          </w:p>
        </w:tc>
        <w:tc>
          <w:tcPr>
            <w:tcW w:w="1275" w:type="dxa"/>
            <w:tcBorders>
              <w:left w:val="single" w:sz="4" w:space="0" w:color="auto"/>
            </w:tcBorders>
            <w:shd w:val="clear" w:color="auto" w:fill="auto"/>
            <w:noWrap/>
            <w:vAlign w:val="bottom"/>
            <w:hideMark/>
          </w:tcPr>
          <w:p w:rsidR="00511154" w:rsidRPr="00511154" w:rsidRDefault="00511154" w:rsidP="008453A1">
            <w:pPr>
              <w:spacing w:after="0" w:line="240" w:lineRule="auto"/>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LPKB</w:t>
            </w:r>
          </w:p>
        </w:tc>
        <w:tc>
          <w:tcPr>
            <w:tcW w:w="993" w:type="dxa"/>
            <w:shd w:val="clear" w:color="auto" w:fill="auto"/>
            <w:noWrap/>
            <w:vAlign w:val="bottom"/>
            <w:hideMark/>
          </w:tcPr>
          <w:p w:rsidR="00511154" w:rsidRPr="00511154" w:rsidRDefault="00511154" w:rsidP="00511154">
            <w:pPr>
              <w:spacing w:after="0" w:line="240" w:lineRule="auto"/>
              <w:jc w:val="right"/>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-15,073</w:t>
            </w:r>
          </w:p>
        </w:tc>
        <w:tc>
          <w:tcPr>
            <w:tcW w:w="516" w:type="dxa"/>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w:t>
            </w:r>
          </w:p>
        </w:tc>
        <w:tc>
          <w:tcPr>
            <w:tcW w:w="1043" w:type="dxa"/>
            <w:shd w:val="clear" w:color="auto" w:fill="auto"/>
            <w:noWrap/>
            <w:vAlign w:val="bottom"/>
            <w:hideMark/>
          </w:tcPr>
          <w:p w:rsidR="00511154" w:rsidRPr="00511154" w:rsidRDefault="00511154" w:rsidP="00511154">
            <w:pPr>
              <w:spacing w:after="0" w:line="240" w:lineRule="auto"/>
              <w:jc w:val="right"/>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-14,551</w:t>
            </w:r>
          </w:p>
        </w:tc>
        <w:tc>
          <w:tcPr>
            <w:tcW w:w="709" w:type="dxa"/>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w:t>
            </w:r>
          </w:p>
        </w:tc>
      </w:tr>
      <w:tr w:rsidR="00511154" w:rsidRPr="00511154" w:rsidTr="0036268B">
        <w:trPr>
          <w:trHeight w:val="285"/>
        </w:trPr>
        <w:tc>
          <w:tcPr>
            <w:tcW w:w="1291" w:type="dxa"/>
            <w:tcBorders>
              <w:top w:val="nil"/>
              <w:bottom w:val="nil"/>
            </w:tcBorders>
            <w:shd w:val="clear" w:color="auto" w:fill="auto"/>
            <w:noWrap/>
            <w:vAlign w:val="bottom"/>
            <w:hideMark/>
          </w:tcPr>
          <w:p w:rsidR="00511154" w:rsidRPr="00511154" w:rsidRDefault="00511154" w:rsidP="008453A1">
            <w:pPr>
              <w:spacing w:after="0" w:line="240" w:lineRule="auto"/>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GF</w:t>
            </w:r>
          </w:p>
        </w:tc>
        <w:tc>
          <w:tcPr>
            <w:tcW w:w="992" w:type="dxa"/>
            <w:tcBorders>
              <w:top w:val="nil"/>
              <w:bottom w:val="nil"/>
            </w:tcBorders>
            <w:shd w:val="clear" w:color="auto" w:fill="auto"/>
            <w:noWrap/>
            <w:vAlign w:val="bottom"/>
            <w:hideMark/>
          </w:tcPr>
          <w:p w:rsidR="00511154" w:rsidRPr="00511154" w:rsidRDefault="00511154" w:rsidP="00511154">
            <w:pPr>
              <w:spacing w:after="0" w:line="240" w:lineRule="auto"/>
              <w:jc w:val="right"/>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-0,094</w:t>
            </w:r>
          </w:p>
        </w:tc>
        <w:tc>
          <w:tcPr>
            <w:tcW w:w="567" w:type="dxa"/>
            <w:tcBorders>
              <w:top w:val="nil"/>
              <w:bottom w:val="nil"/>
            </w:tcBorders>
            <w:shd w:val="clear" w:color="auto" w:fill="auto"/>
            <w:noWrap/>
            <w:vAlign w:val="bottom"/>
            <w:hideMark/>
          </w:tcPr>
          <w:p w:rsidR="00511154" w:rsidRPr="00511154" w:rsidRDefault="00511154" w:rsidP="00820759">
            <w:pPr>
              <w:spacing w:after="0" w:line="240" w:lineRule="auto"/>
              <w:jc w:val="both"/>
              <w:rPr>
                <w:rFonts w:ascii="Times New Roman" w:eastAsia="Times New Roman" w:hAnsi="Times New Roman" w:cs="Times New Roman"/>
                <w:sz w:val="20"/>
                <w:szCs w:val="20"/>
              </w:rPr>
            </w:pPr>
          </w:p>
        </w:tc>
        <w:tc>
          <w:tcPr>
            <w:tcW w:w="993" w:type="dxa"/>
            <w:tcBorders>
              <w:top w:val="nil"/>
              <w:bottom w:val="nil"/>
            </w:tcBorders>
            <w:shd w:val="clear" w:color="auto" w:fill="auto"/>
            <w:noWrap/>
            <w:vAlign w:val="bottom"/>
            <w:hideMark/>
          </w:tcPr>
          <w:p w:rsidR="00511154" w:rsidRPr="00511154" w:rsidRDefault="00511154" w:rsidP="00511154">
            <w:pPr>
              <w:spacing w:after="0" w:line="240" w:lineRule="auto"/>
              <w:jc w:val="right"/>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-0,100</w:t>
            </w:r>
          </w:p>
        </w:tc>
        <w:tc>
          <w:tcPr>
            <w:tcW w:w="567" w:type="dxa"/>
            <w:tcBorders>
              <w:top w:val="nil"/>
              <w:bottom w:val="nil"/>
              <w:right w:val="single" w:sz="4" w:space="0" w:color="auto"/>
            </w:tcBorders>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p>
        </w:tc>
        <w:tc>
          <w:tcPr>
            <w:tcW w:w="1275" w:type="dxa"/>
            <w:tcBorders>
              <w:left w:val="single" w:sz="4" w:space="0" w:color="auto"/>
            </w:tcBorders>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p>
        </w:tc>
        <w:tc>
          <w:tcPr>
            <w:tcW w:w="993" w:type="dxa"/>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p>
        </w:tc>
        <w:tc>
          <w:tcPr>
            <w:tcW w:w="516" w:type="dxa"/>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p>
        </w:tc>
        <w:tc>
          <w:tcPr>
            <w:tcW w:w="1043" w:type="dxa"/>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p>
        </w:tc>
        <w:tc>
          <w:tcPr>
            <w:tcW w:w="709" w:type="dxa"/>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p>
        </w:tc>
      </w:tr>
      <w:tr w:rsidR="00511154" w:rsidRPr="00511154" w:rsidTr="0036268B">
        <w:trPr>
          <w:trHeight w:val="285"/>
        </w:trPr>
        <w:tc>
          <w:tcPr>
            <w:tcW w:w="1291" w:type="dxa"/>
            <w:tcBorders>
              <w:top w:val="nil"/>
              <w:bottom w:val="nil"/>
            </w:tcBorders>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w:t>
            </w:r>
            <w:r w:rsidRPr="00511154">
              <w:rPr>
                <w:rFonts w:ascii="Times New Roman" w:eastAsia="Times New Roman" w:hAnsi="Times New Roman" w:cs="Times New Roman"/>
                <w:sz w:val="20"/>
                <w:szCs w:val="20"/>
              </w:rPr>
              <w:t>GF4</w:t>
            </w:r>
          </w:p>
        </w:tc>
        <w:tc>
          <w:tcPr>
            <w:tcW w:w="992" w:type="dxa"/>
            <w:tcBorders>
              <w:top w:val="nil"/>
              <w:bottom w:val="nil"/>
            </w:tcBorders>
            <w:shd w:val="clear" w:color="auto" w:fill="auto"/>
            <w:noWrap/>
            <w:vAlign w:val="bottom"/>
            <w:hideMark/>
          </w:tcPr>
          <w:p w:rsidR="00511154" w:rsidRPr="00511154" w:rsidRDefault="00511154" w:rsidP="00511154">
            <w:pPr>
              <w:spacing w:after="0" w:line="240" w:lineRule="auto"/>
              <w:jc w:val="right"/>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0,227</w:t>
            </w:r>
          </w:p>
        </w:tc>
        <w:tc>
          <w:tcPr>
            <w:tcW w:w="567" w:type="dxa"/>
            <w:tcBorders>
              <w:top w:val="nil"/>
              <w:bottom w:val="nil"/>
            </w:tcBorders>
            <w:shd w:val="clear" w:color="auto" w:fill="auto"/>
            <w:noWrap/>
            <w:vAlign w:val="bottom"/>
            <w:hideMark/>
          </w:tcPr>
          <w:p w:rsidR="00511154" w:rsidRPr="00511154" w:rsidRDefault="00511154" w:rsidP="00820759">
            <w:pPr>
              <w:spacing w:after="0" w:line="240" w:lineRule="auto"/>
              <w:jc w:val="both"/>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w:t>
            </w:r>
          </w:p>
        </w:tc>
        <w:tc>
          <w:tcPr>
            <w:tcW w:w="993" w:type="dxa"/>
            <w:tcBorders>
              <w:top w:val="nil"/>
              <w:bottom w:val="nil"/>
            </w:tcBorders>
            <w:shd w:val="clear" w:color="auto" w:fill="auto"/>
            <w:noWrap/>
            <w:vAlign w:val="bottom"/>
            <w:hideMark/>
          </w:tcPr>
          <w:p w:rsidR="00511154" w:rsidRPr="00511154" w:rsidRDefault="00511154" w:rsidP="00511154">
            <w:pPr>
              <w:spacing w:after="0" w:line="240" w:lineRule="auto"/>
              <w:jc w:val="right"/>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0,215</w:t>
            </w:r>
          </w:p>
        </w:tc>
        <w:tc>
          <w:tcPr>
            <w:tcW w:w="567" w:type="dxa"/>
            <w:tcBorders>
              <w:top w:val="nil"/>
              <w:bottom w:val="nil"/>
              <w:right w:val="single" w:sz="4" w:space="0" w:color="auto"/>
            </w:tcBorders>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w:t>
            </w:r>
          </w:p>
        </w:tc>
        <w:tc>
          <w:tcPr>
            <w:tcW w:w="1275" w:type="dxa"/>
            <w:tcBorders>
              <w:left w:val="single" w:sz="4" w:space="0" w:color="auto"/>
            </w:tcBorders>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GF4</w:t>
            </w:r>
          </w:p>
        </w:tc>
        <w:tc>
          <w:tcPr>
            <w:tcW w:w="993" w:type="dxa"/>
            <w:shd w:val="clear" w:color="auto" w:fill="auto"/>
            <w:noWrap/>
            <w:vAlign w:val="bottom"/>
            <w:hideMark/>
          </w:tcPr>
          <w:p w:rsidR="00511154" w:rsidRPr="00511154" w:rsidRDefault="00511154" w:rsidP="00511154">
            <w:pPr>
              <w:spacing w:after="0" w:line="240" w:lineRule="auto"/>
              <w:jc w:val="right"/>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0,074</w:t>
            </w:r>
          </w:p>
        </w:tc>
        <w:tc>
          <w:tcPr>
            <w:tcW w:w="516" w:type="dxa"/>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p>
        </w:tc>
        <w:tc>
          <w:tcPr>
            <w:tcW w:w="1043" w:type="dxa"/>
            <w:shd w:val="clear" w:color="auto" w:fill="auto"/>
            <w:noWrap/>
            <w:vAlign w:val="bottom"/>
            <w:hideMark/>
          </w:tcPr>
          <w:p w:rsidR="00511154" w:rsidRPr="00511154" w:rsidRDefault="00511154" w:rsidP="00511154">
            <w:pPr>
              <w:spacing w:after="0" w:line="240" w:lineRule="auto"/>
              <w:jc w:val="right"/>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0,099</w:t>
            </w:r>
          </w:p>
        </w:tc>
        <w:tc>
          <w:tcPr>
            <w:tcW w:w="709" w:type="dxa"/>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p>
        </w:tc>
      </w:tr>
      <w:tr w:rsidR="00511154" w:rsidRPr="00511154" w:rsidTr="0036268B">
        <w:trPr>
          <w:trHeight w:val="285"/>
        </w:trPr>
        <w:tc>
          <w:tcPr>
            <w:tcW w:w="1291" w:type="dxa"/>
            <w:tcBorders>
              <w:top w:val="nil"/>
              <w:bottom w:val="nil"/>
            </w:tcBorders>
            <w:shd w:val="clear" w:color="auto" w:fill="auto"/>
            <w:noWrap/>
            <w:vAlign w:val="bottom"/>
            <w:hideMark/>
          </w:tcPr>
          <w:p w:rsidR="00511154" w:rsidRPr="00511154" w:rsidRDefault="00820759" w:rsidP="0051115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w:t>
            </w:r>
            <w:r w:rsidR="00511154" w:rsidRPr="00511154">
              <w:rPr>
                <w:rFonts w:ascii="Times New Roman" w:eastAsia="Times New Roman" w:hAnsi="Times New Roman" w:cs="Times New Roman"/>
                <w:sz w:val="20"/>
                <w:szCs w:val="20"/>
              </w:rPr>
              <w:t>GF9</w:t>
            </w:r>
          </w:p>
        </w:tc>
        <w:tc>
          <w:tcPr>
            <w:tcW w:w="992" w:type="dxa"/>
            <w:tcBorders>
              <w:top w:val="nil"/>
              <w:bottom w:val="nil"/>
            </w:tcBorders>
            <w:shd w:val="clear" w:color="auto" w:fill="auto"/>
            <w:noWrap/>
            <w:vAlign w:val="bottom"/>
            <w:hideMark/>
          </w:tcPr>
          <w:p w:rsidR="00511154" w:rsidRPr="00511154" w:rsidRDefault="00511154" w:rsidP="00511154">
            <w:pPr>
              <w:spacing w:after="0" w:line="240" w:lineRule="auto"/>
              <w:jc w:val="right"/>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0,110</w:t>
            </w:r>
          </w:p>
        </w:tc>
        <w:tc>
          <w:tcPr>
            <w:tcW w:w="567" w:type="dxa"/>
            <w:tcBorders>
              <w:top w:val="nil"/>
              <w:bottom w:val="nil"/>
            </w:tcBorders>
            <w:shd w:val="clear" w:color="auto" w:fill="auto"/>
            <w:noWrap/>
            <w:vAlign w:val="bottom"/>
            <w:hideMark/>
          </w:tcPr>
          <w:p w:rsidR="00511154" w:rsidRPr="00511154" w:rsidRDefault="00511154" w:rsidP="00820759">
            <w:pPr>
              <w:spacing w:after="0" w:line="240" w:lineRule="auto"/>
              <w:jc w:val="both"/>
              <w:rPr>
                <w:rFonts w:ascii="Times New Roman" w:eastAsia="Times New Roman" w:hAnsi="Times New Roman" w:cs="Times New Roman"/>
                <w:sz w:val="20"/>
                <w:szCs w:val="20"/>
              </w:rPr>
            </w:pPr>
          </w:p>
        </w:tc>
        <w:tc>
          <w:tcPr>
            <w:tcW w:w="993" w:type="dxa"/>
            <w:tcBorders>
              <w:top w:val="nil"/>
              <w:bottom w:val="nil"/>
            </w:tcBorders>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p>
        </w:tc>
        <w:tc>
          <w:tcPr>
            <w:tcW w:w="567" w:type="dxa"/>
            <w:tcBorders>
              <w:top w:val="nil"/>
              <w:bottom w:val="nil"/>
              <w:right w:val="single" w:sz="4" w:space="0" w:color="auto"/>
            </w:tcBorders>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p>
        </w:tc>
        <w:tc>
          <w:tcPr>
            <w:tcW w:w="1275" w:type="dxa"/>
            <w:tcBorders>
              <w:left w:val="single" w:sz="4" w:space="0" w:color="auto"/>
            </w:tcBorders>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GF9</w:t>
            </w:r>
          </w:p>
        </w:tc>
        <w:tc>
          <w:tcPr>
            <w:tcW w:w="993" w:type="dxa"/>
            <w:shd w:val="clear" w:color="auto" w:fill="auto"/>
            <w:noWrap/>
            <w:vAlign w:val="bottom"/>
            <w:hideMark/>
          </w:tcPr>
          <w:p w:rsidR="00511154" w:rsidRPr="00511154" w:rsidRDefault="00511154" w:rsidP="00511154">
            <w:pPr>
              <w:spacing w:after="0" w:line="240" w:lineRule="auto"/>
              <w:jc w:val="right"/>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-0,192</w:t>
            </w:r>
          </w:p>
        </w:tc>
        <w:tc>
          <w:tcPr>
            <w:tcW w:w="516" w:type="dxa"/>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p>
        </w:tc>
        <w:tc>
          <w:tcPr>
            <w:tcW w:w="1043" w:type="dxa"/>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p>
        </w:tc>
        <w:tc>
          <w:tcPr>
            <w:tcW w:w="709" w:type="dxa"/>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p>
        </w:tc>
      </w:tr>
      <w:tr w:rsidR="00511154" w:rsidRPr="00511154" w:rsidTr="0036268B">
        <w:trPr>
          <w:trHeight w:val="285"/>
        </w:trPr>
        <w:tc>
          <w:tcPr>
            <w:tcW w:w="1291" w:type="dxa"/>
            <w:tcBorders>
              <w:top w:val="nil"/>
              <w:bottom w:val="nil"/>
            </w:tcBorders>
            <w:shd w:val="clear" w:color="auto" w:fill="auto"/>
            <w:noWrap/>
            <w:vAlign w:val="bottom"/>
            <w:hideMark/>
          </w:tcPr>
          <w:p w:rsidR="00511154" w:rsidRPr="00511154" w:rsidRDefault="00820759" w:rsidP="00511154">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u</w:t>
            </w:r>
            <w:r w:rsidR="00511154" w:rsidRPr="00511154">
              <w:rPr>
                <w:rFonts w:ascii="Times New Roman" w:eastAsia="Times New Roman" w:hAnsi="Times New Roman" w:cs="Times New Roman"/>
                <w:sz w:val="20"/>
                <w:szCs w:val="20"/>
              </w:rPr>
              <w:t>GF_KL</w:t>
            </w:r>
            <w:proofErr w:type="spellEnd"/>
          </w:p>
        </w:tc>
        <w:tc>
          <w:tcPr>
            <w:tcW w:w="992" w:type="dxa"/>
            <w:tcBorders>
              <w:top w:val="nil"/>
              <w:bottom w:val="nil"/>
            </w:tcBorders>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p>
        </w:tc>
        <w:tc>
          <w:tcPr>
            <w:tcW w:w="567" w:type="dxa"/>
            <w:tcBorders>
              <w:top w:val="nil"/>
              <w:bottom w:val="nil"/>
            </w:tcBorders>
            <w:shd w:val="clear" w:color="auto" w:fill="auto"/>
            <w:noWrap/>
            <w:vAlign w:val="bottom"/>
            <w:hideMark/>
          </w:tcPr>
          <w:p w:rsidR="00511154" w:rsidRPr="00511154" w:rsidRDefault="00511154" w:rsidP="00820759">
            <w:pPr>
              <w:spacing w:after="0" w:line="240" w:lineRule="auto"/>
              <w:jc w:val="both"/>
              <w:rPr>
                <w:rFonts w:ascii="Times New Roman" w:eastAsia="Times New Roman" w:hAnsi="Times New Roman" w:cs="Times New Roman"/>
                <w:sz w:val="20"/>
                <w:szCs w:val="20"/>
              </w:rPr>
            </w:pPr>
          </w:p>
        </w:tc>
        <w:tc>
          <w:tcPr>
            <w:tcW w:w="993" w:type="dxa"/>
            <w:tcBorders>
              <w:top w:val="nil"/>
              <w:bottom w:val="nil"/>
            </w:tcBorders>
            <w:shd w:val="clear" w:color="auto" w:fill="auto"/>
            <w:noWrap/>
            <w:vAlign w:val="bottom"/>
            <w:hideMark/>
          </w:tcPr>
          <w:p w:rsidR="00511154" w:rsidRPr="00511154" w:rsidRDefault="00511154" w:rsidP="00511154">
            <w:pPr>
              <w:spacing w:after="0" w:line="240" w:lineRule="auto"/>
              <w:jc w:val="right"/>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0,010</w:t>
            </w:r>
          </w:p>
        </w:tc>
        <w:tc>
          <w:tcPr>
            <w:tcW w:w="567" w:type="dxa"/>
            <w:tcBorders>
              <w:top w:val="nil"/>
              <w:bottom w:val="nil"/>
              <w:right w:val="single" w:sz="4" w:space="0" w:color="auto"/>
            </w:tcBorders>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p>
        </w:tc>
        <w:tc>
          <w:tcPr>
            <w:tcW w:w="1275" w:type="dxa"/>
            <w:tcBorders>
              <w:left w:val="single" w:sz="4" w:space="0" w:color="auto"/>
            </w:tcBorders>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GF_KL</w:t>
            </w:r>
          </w:p>
        </w:tc>
        <w:tc>
          <w:tcPr>
            <w:tcW w:w="993" w:type="dxa"/>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p>
        </w:tc>
        <w:tc>
          <w:tcPr>
            <w:tcW w:w="516" w:type="dxa"/>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p>
        </w:tc>
        <w:tc>
          <w:tcPr>
            <w:tcW w:w="1043" w:type="dxa"/>
            <w:shd w:val="clear" w:color="auto" w:fill="auto"/>
            <w:noWrap/>
            <w:vAlign w:val="bottom"/>
            <w:hideMark/>
          </w:tcPr>
          <w:p w:rsidR="00511154" w:rsidRPr="00511154" w:rsidRDefault="00511154" w:rsidP="00511154">
            <w:pPr>
              <w:spacing w:after="0" w:line="240" w:lineRule="auto"/>
              <w:jc w:val="right"/>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-0,262</w:t>
            </w:r>
          </w:p>
        </w:tc>
        <w:tc>
          <w:tcPr>
            <w:tcW w:w="709" w:type="dxa"/>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p>
        </w:tc>
      </w:tr>
      <w:tr w:rsidR="00511154" w:rsidRPr="00511154" w:rsidTr="0036268B">
        <w:trPr>
          <w:trHeight w:val="285"/>
        </w:trPr>
        <w:tc>
          <w:tcPr>
            <w:tcW w:w="1291" w:type="dxa"/>
            <w:tcBorders>
              <w:top w:val="nil"/>
              <w:bottom w:val="single" w:sz="4" w:space="0" w:color="auto"/>
            </w:tcBorders>
            <w:shd w:val="clear" w:color="auto" w:fill="auto"/>
            <w:noWrap/>
            <w:vAlign w:val="bottom"/>
            <w:hideMark/>
          </w:tcPr>
          <w:p w:rsidR="00511154" w:rsidRPr="00511154" w:rsidRDefault="00820759" w:rsidP="0051115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w:t>
            </w:r>
            <w:r w:rsidR="00511154" w:rsidRPr="00511154">
              <w:rPr>
                <w:rFonts w:ascii="Times New Roman" w:eastAsia="Times New Roman" w:hAnsi="Times New Roman" w:cs="Times New Roman"/>
                <w:sz w:val="20"/>
                <w:szCs w:val="20"/>
              </w:rPr>
              <w:t>GF10</w:t>
            </w:r>
          </w:p>
        </w:tc>
        <w:tc>
          <w:tcPr>
            <w:tcW w:w="992" w:type="dxa"/>
            <w:tcBorders>
              <w:top w:val="nil"/>
              <w:bottom w:val="single" w:sz="4" w:space="0" w:color="auto"/>
            </w:tcBorders>
            <w:shd w:val="clear" w:color="auto" w:fill="auto"/>
            <w:noWrap/>
            <w:vAlign w:val="bottom"/>
            <w:hideMark/>
          </w:tcPr>
          <w:p w:rsidR="00511154" w:rsidRPr="00511154" w:rsidRDefault="00511154" w:rsidP="00511154">
            <w:pPr>
              <w:spacing w:after="0" w:line="240" w:lineRule="auto"/>
              <w:jc w:val="right"/>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0,240</w:t>
            </w:r>
          </w:p>
        </w:tc>
        <w:tc>
          <w:tcPr>
            <w:tcW w:w="567" w:type="dxa"/>
            <w:tcBorders>
              <w:top w:val="nil"/>
              <w:bottom w:val="single" w:sz="4" w:space="0" w:color="auto"/>
            </w:tcBorders>
            <w:shd w:val="clear" w:color="auto" w:fill="auto"/>
            <w:noWrap/>
            <w:vAlign w:val="bottom"/>
            <w:hideMark/>
          </w:tcPr>
          <w:p w:rsidR="00511154" w:rsidRPr="00511154" w:rsidRDefault="00511154" w:rsidP="00820759">
            <w:pPr>
              <w:spacing w:after="0" w:line="240" w:lineRule="auto"/>
              <w:jc w:val="both"/>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w:t>
            </w:r>
          </w:p>
        </w:tc>
        <w:tc>
          <w:tcPr>
            <w:tcW w:w="993" w:type="dxa"/>
            <w:tcBorders>
              <w:top w:val="nil"/>
              <w:bottom w:val="single" w:sz="4" w:space="0" w:color="auto"/>
            </w:tcBorders>
            <w:shd w:val="clear" w:color="auto" w:fill="auto"/>
            <w:noWrap/>
            <w:vAlign w:val="bottom"/>
            <w:hideMark/>
          </w:tcPr>
          <w:p w:rsidR="00511154" w:rsidRPr="00511154" w:rsidRDefault="00511154" w:rsidP="00511154">
            <w:pPr>
              <w:spacing w:after="0" w:line="240" w:lineRule="auto"/>
              <w:jc w:val="right"/>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0,236</w:t>
            </w:r>
          </w:p>
        </w:tc>
        <w:tc>
          <w:tcPr>
            <w:tcW w:w="567" w:type="dxa"/>
            <w:tcBorders>
              <w:top w:val="nil"/>
              <w:bottom w:val="single" w:sz="4" w:space="0" w:color="auto"/>
              <w:right w:val="single" w:sz="4" w:space="0" w:color="auto"/>
            </w:tcBorders>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w:t>
            </w:r>
          </w:p>
        </w:tc>
        <w:tc>
          <w:tcPr>
            <w:tcW w:w="1275" w:type="dxa"/>
            <w:tcBorders>
              <w:left w:val="single" w:sz="4" w:space="0" w:color="auto"/>
            </w:tcBorders>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GF10</w:t>
            </w:r>
          </w:p>
        </w:tc>
        <w:tc>
          <w:tcPr>
            <w:tcW w:w="993" w:type="dxa"/>
            <w:shd w:val="clear" w:color="auto" w:fill="auto"/>
            <w:noWrap/>
            <w:vAlign w:val="bottom"/>
            <w:hideMark/>
          </w:tcPr>
          <w:p w:rsidR="00511154" w:rsidRPr="00511154" w:rsidRDefault="00511154" w:rsidP="00511154">
            <w:pPr>
              <w:spacing w:after="0" w:line="240" w:lineRule="auto"/>
              <w:jc w:val="right"/>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0,128</w:t>
            </w:r>
          </w:p>
        </w:tc>
        <w:tc>
          <w:tcPr>
            <w:tcW w:w="516" w:type="dxa"/>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p>
        </w:tc>
        <w:tc>
          <w:tcPr>
            <w:tcW w:w="1043" w:type="dxa"/>
            <w:shd w:val="clear" w:color="auto" w:fill="auto"/>
            <w:noWrap/>
            <w:vAlign w:val="bottom"/>
            <w:hideMark/>
          </w:tcPr>
          <w:p w:rsidR="00511154" w:rsidRPr="00511154" w:rsidRDefault="00511154" w:rsidP="00511154">
            <w:pPr>
              <w:spacing w:after="0" w:line="240" w:lineRule="auto"/>
              <w:jc w:val="right"/>
              <w:rPr>
                <w:rFonts w:ascii="Times New Roman" w:eastAsia="Times New Roman" w:hAnsi="Times New Roman" w:cs="Times New Roman"/>
                <w:sz w:val="20"/>
                <w:szCs w:val="20"/>
              </w:rPr>
            </w:pPr>
            <w:r w:rsidRPr="00511154">
              <w:rPr>
                <w:rFonts w:ascii="Times New Roman" w:eastAsia="Times New Roman" w:hAnsi="Times New Roman" w:cs="Times New Roman"/>
                <w:sz w:val="20"/>
                <w:szCs w:val="20"/>
              </w:rPr>
              <w:t>0,176</w:t>
            </w:r>
          </w:p>
        </w:tc>
        <w:tc>
          <w:tcPr>
            <w:tcW w:w="709" w:type="dxa"/>
            <w:shd w:val="clear" w:color="auto" w:fill="auto"/>
            <w:noWrap/>
            <w:vAlign w:val="bottom"/>
            <w:hideMark/>
          </w:tcPr>
          <w:p w:rsidR="00511154" w:rsidRPr="00511154" w:rsidRDefault="00511154" w:rsidP="00511154">
            <w:pPr>
              <w:spacing w:after="0" w:line="240" w:lineRule="auto"/>
              <w:rPr>
                <w:rFonts w:ascii="Times New Roman" w:eastAsia="Times New Roman" w:hAnsi="Times New Roman" w:cs="Times New Roman"/>
                <w:sz w:val="20"/>
                <w:szCs w:val="20"/>
              </w:rPr>
            </w:pPr>
          </w:p>
        </w:tc>
      </w:tr>
    </w:tbl>
    <w:p w:rsidR="006C3462" w:rsidRDefault="006C3462" w:rsidP="006C3462">
      <w:pPr>
        <w:spacing w:after="0"/>
        <w:jc w:val="both"/>
        <w:rPr>
          <w:rFonts w:ascii="Times New Roman" w:hAnsi="Times New Roman" w:cs="Times New Roman"/>
          <w:sz w:val="20"/>
          <w:szCs w:val="24"/>
          <w:lang w:val="pl-PL"/>
        </w:rPr>
      </w:pPr>
      <w:r>
        <w:rPr>
          <w:rFonts w:ascii="Times New Roman" w:hAnsi="Times New Roman" w:cs="Times New Roman"/>
          <w:sz w:val="20"/>
          <w:szCs w:val="24"/>
          <w:lang w:val="pl-PL"/>
        </w:rPr>
        <w:t xml:space="preserve">Uwaga: </w:t>
      </w:r>
      <w:r w:rsidRPr="00BE33C2">
        <w:rPr>
          <w:rFonts w:ascii="Times New Roman" w:hAnsi="Times New Roman" w:cs="Times New Roman"/>
          <w:sz w:val="20"/>
          <w:szCs w:val="24"/>
          <w:lang w:val="pl-PL"/>
        </w:rPr>
        <w:t>Oznaczenie kategorii wydatków: GF</w:t>
      </w:r>
      <w:r>
        <w:rPr>
          <w:rFonts w:ascii="Times New Roman" w:hAnsi="Times New Roman" w:cs="Times New Roman"/>
          <w:sz w:val="20"/>
          <w:szCs w:val="24"/>
          <w:lang w:val="pl-PL"/>
        </w:rPr>
        <w:t>4</w:t>
      </w:r>
      <w:r w:rsidRPr="00BE33C2">
        <w:rPr>
          <w:rFonts w:ascii="Times New Roman" w:hAnsi="Times New Roman" w:cs="Times New Roman"/>
          <w:sz w:val="20"/>
          <w:szCs w:val="24"/>
          <w:lang w:val="pl-PL"/>
        </w:rPr>
        <w:t xml:space="preserve">- na spawy </w:t>
      </w:r>
      <w:r>
        <w:rPr>
          <w:rFonts w:ascii="Times New Roman" w:hAnsi="Times New Roman" w:cs="Times New Roman"/>
          <w:sz w:val="20"/>
          <w:szCs w:val="24"/>
          <w:lang w:val="pl-PL"/>
        </w:rPr>
        <w:t>gospodarcze</w:t>
      </w:r>
      <w:r w:rsidRPr="00BE33C2">
        <w:rPr>
          <w:rFonts w:ascii="Times New Roman" w:hAnsi="Times New Roman" w:cs="Times New Roman"/>
          <w:sz w:val="20"/>
          <w:szCs w:val="24"/>
          <w:lang w:val="pl-PL"/>
        </w:rPr>
        <w:t>, GF9-na edukację, GF10-na ochronę socjalną, GF_KL-inwestycja w kapitał ludzki, stanowiące sumę kategorii od GF5 do GF9.</w:t>
      </w:r>
      <w:r>
        <w:rPr>
          <w:rFonts w:ascii="Times New Roman" w:hAnsi="Times New Roman" w:cs="Times New Roman"/>
          <w:sz w:val="20"/>
          <w:szCs w:val="24"/>
          <w:lang w:val="pl-PL"/>
        </w:rPr>
        <w:t xml:space="preserve"> </w:t>
      </w:r>
      <w:proofErr w:type="spellStart"/>
      <w:r>
        <w:rPr>
          <w:rFonts w:ascii="Times New Roman" w:hAnsi="Times New Roman" w:cs="Times New Roman"/>
          <w:sz w:val="20"/>
          <w:szCs w:val="24"/>
          <w:lang w:val="pl-PL"/>
        </w:rPr>
        <w:t>uGF</w:t>
      </w:r>
      <w:r w:rsidRPr="00BE33C2">
        <w:rPr>
          <w:rFonts w:ascii="Times New Roman" w:hAnsi="Times New Roman" w:cs="Times New Roman"/>
          <w:sz w:val="20"/>
          <w:szCs w:val="24"/>
          <w:vertAlign w:val="subscript"/>
          <w:lang w:val="pl-PL"/>
        </w:rPr>
        <w:t>j</w:t>
      </w:r>
      <w:proofErr w:type="spellEnd"/>
      <w:r>
        <w:rPr>
          <w:rFonts w:ascii="Times New Roman" w:hAnsi="Times New Roman" w:cs="Times New Roman"/>
          <w:sz w:val="20"/>
          <w:szCs w:val="24"/>
          <w:lang w:val="pl-PL"/>
        </w:rPr>
        <w:t xml:space="preserve"> oznacza udział kategorii j w strukturze wydatków, </w:t>
      </w:r>
      <w:proofErr w:type="spellStart"/>
      <w:r>
        <w:rPr>
          <w:rFonts w:ascii="Times New Roman" w:hAnsi="Times New Roman" w:cs="Times New Roman"/>
          <w:sz w:val="20"/>
          <w:szCs w:val="24"/>
          <w:lang w:val="pl-PL"/>
        </w:rPr>
        <w:t>GF</w:t>
      </w:r>
      <w:r w:rsidRPr="00BE33C2">
        <w:rPr>
          <w:rFonts w:ascii="Times New Roman" w:hAnsi="Times New Roman" w:cs="Times New Roman"/>
          <w:sz w:val="20"/>
          <w:szCs w:val="24"/>
          <w:vertAlign w:val="subscript"/>
          <w:lang w:val="pl-PL"/>
        </w:rPr>
        <w:t>j</w:t>
      </w:r>
      <w:proofErr w:type="spellEnd"/>
      <w:r>
        <w:rPr>
          <w:rFonts w:ascii="Times New Roman" w:hAnsi="Times New Roman" w:cs="Times New Roman"/>
          <w:sz w:val="20"/>
          <w:szCs w:val="24"/>
          <w:lang w:val="pl-PL"/>
        </w:rPr>
        <w:t xml:space="preserve"> oznacza poziom wydatków z kategorii j w relacji do PKB.</w:t>
      </w:r>
    </w:p>
    <w:p w:rsidR="006C3462" w:rsidRPr="00BE33C2" w:rsidRDefault="006C3462" w:rsidP="006C3462">
      <w:pPr>
        <w:spacing w:after="0"/>
        <w:jc w:val="both"/>
        <w:rPr>
          <w:rFonts w:ascii="Times New Roman" w:hAnsi="Times New Roman" w:cs="Times New Roman"/>
          <w:sz w:val="20"/>
          <w:szCs w:val="24"/>
          <w:lang w:val="pl-PL"/>
        </w:rPr>
      </w:pPr>
      <w:r>
        <w:rPr>
          <w:rFonts w:ascii="Times New Roman" w:hAnsi="Times New Roman" w:cs="Times New Roman"/>
          <w:sz w:val="20"/>
          <w:szCs w:val="24"/>
          <w:lang w:val="pl-PL"/>
        </w:rPr>
        <w:t>***, **, * oznacza poziom istotności, odpowiednio 1%, 5% i 10%.</w:t>
      </w:r>
    </w:p>
    <w:p w:rsidR="00820759" w:rsidRPr="00820759" w:rsidRDefault="00820759" w:rsidP="0036268B">
      <w:pPr>
        <w:spacing w:line="360" w:lineRule="auto"/>
        <w:jc w:val="both"/>
        <w:rPr>
          <w:rFonts w:ascii="Times New Roman" w:hAnsi="Times New Roman" w:cs="Times New Roman"/>
          <w:sz w:val="20"/>
          <w:szCs w:val="24"/>
          <w:lang w:val="pl-PL"/>
        </w:rPr>
      </w:pPr>
      <w:r>
        <w:rPr>
          <w:rFonts w:ascii="Times New Roman" w:hAnsi="Times New Roman" w:cs="Times New Roman"/>
          <w:sz w:val="20"/>
          <w:szCs w:val="24"/>
          <w:lang w:val="pl-PL"/>
        </w:rPr>
        <w:t xml:space="preserve">Źródło: </w:t>
      </w:r>
      <w:r w:rsidR="00605F3A">
        <w:rPr>
          <w:rFonts w:ascii="Times New Roman" w:hAnsi="Times New Roman" w:cs="Times New Roman"/>
          <w:sz w:val="20"/>
          <w:szCs w:val="24"/>
          <w:lang w:val="pl-PL"/>
        </w:rPr>
        <w:t>O</w:t>
      </w:r>
      <w:r>
        <w:rPr>
          <w:rFonts w:ascii="Times New Roman" w:hAnsi="Times New Roman" w:cs="Times New Roman"/>
          <w:sz w:val="20"/>
          <w:szCs w:val="24"/>
          <w:lang w:val="pl-PL"/>
        </w:rPr>
        <w:t>pracowanie własne.</w:t>
      </w:r>
    </w:p>
    <w:p w:rsidR="00674034" w:rsidRDefault="008453A1" w:rsidP="00674034">
      <w:pPr>
        <w:spacing w:after="0"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Wyniki regresji (tab. </w:t>
      </w:r>
      <w:r w:rsidR="006C3462">
        <w:rPr>
          <w:rFonts w:ascii="Times New Roman" w:hAnsi="Times New Roman" w:cs="Times New Roman"/>
          <w:sz w:val="24"/>
          <w:szCs w:val="24"/>
          <w:lang w:val="pl-PL"/>
        </w:rPr>
        <w:t>3</w:t>
      </w:r>
      <w:r>
        <w:rPr>
          <w:rFonts w:ascii="Times New Roman" w:hAnsi="Times New Roman" w:cs="Times New Roman"/>
          <w:sz w:val="24"/>
          <w:szCs w:val="24"/>
          <w:lang w:val="pl-PL"/>
        </w:rPr>
        <w:t xml:space="preserve"> i </w:t>
      </w:r>
      <w:r w:rsidR="006C3462">
        <w:rPr>
          <w:rFonts w:ascii="Times New Roman" w:hAnsi="Times New Roman" w:cs="Times New Roman"/>
          <w:sz w:val="24"/>
          <w:szCs w:val="24"/>
          <w:lang w:val="pl-PL"/>
        </w:rPr>
        <w:t>4</w:t>
      </w:r>
      <w:r>
        <w:rPr>
          <w:rFonts w:ascii="Times New Roman" w:hAnsi="Times New Roman" w:cs="Times New Roman"/>
          <w:sz w:val="24"/>
          <w:szCs w:val="24"/>
          <w:lang w:val="pl-PL"/>
        </w:rPr>
        <w:t xml:space="preserve">)  potwierdzają, że kraje o niższym poziomie dochodu </w:t>
      </w:r>
      <w:r w:rsidR="004A7D00">
        <w:rPr>
          <w:rFonts w:ascii="Times New Roman" w:hAnsi="Times New Roman" w:cs="Times New Roman"/>
          <w:sz w:val="24"/>
          <w:szCs w:val="24"/>
          <w:lang w:val="pl-PL"/>
        </w:rPr>
        <w:t>osiągają szybsze tempo wzrostu</w:t>
      </w:r>
      <w:r>
        <w:rPr>
          <w:rFonts w:ascii="Times New Roman" w:hAnsi="Times New Roman" w:cs="Times New Roman"/>
          <w:sz w:val="24"/>
          <w:szCs w:val="24"/>
          <w:lang w:val="pl-PL"/>
        </w:rPr>
        <w:t xml:space="preserve"> (ujemna ocena parametru przy zmiennej LPKB), co jest zgodne z hipotezą stopniowej konwergencji</w:t>
      </w:r>
      <w:r w:rsidR="004A7D00">
        <w:rPr>
          <w:rFonts w:ascii="Times New Roman" w:hAnsi="Times New Roman" w:cs="Times New Roman"/>
          <w:sz w:val="24"/>
          <w:szCs w:val="24"/>
          <w:lang w:val="pl-PL"/>
        </w:rPr>
        <w:t>, r</w:t>
      </w:r>
      <w:r>
        <w:rPr>
          <w:rFonts w:ascii="Times New Roman" w:hAnsi="Times New Roman" w:cs="Times New Roman"/>
          <w:sz w:val="24"/>
          <w:szCs w:val="24"/>
          <w:lang w:val="pl-PL"/>
        </w:rPr>
        <w:t xml:space="preserve">ównocześnie jednak w tych krajach występuje większe zróżnicowanie dochodów, </w:t>
      </w:r>
      <w:r w:rsidR="004A7D00">
        <w:rPr>
          <w:rFonts w:ascii="Times New Roman" w:hAnsi="Times New Roman" w:cs="Times New Roman"/>
          <w:sz w:val="24"/>
          <w:szCs w:val="24"/>
          <w:lang w:val="pl-PL"/>
        </w:rPr>
        <w:t xml:space="preserve">co uwypukla konieczność utrzymywania właściwego proporcji pomiędzy wydatkami rozwojowymi oraz transferami. W krajach ESW wzrostowi ogólnego poziomu wydatków towarzyszyło obniżenie poziomu indeksu </w:t>
      </w:r>
      <w:proofErr w:type="spellStart"/>
      <w:r w:rsidR="004A7D00">
        <w:rPr>
          <w:rFonts w:ascii="Times New Roman" w:hAnsi="Times New Roman" w:cs="Times New Roman"/>
          <w:sz w:val="24"/>
          <w:szCs w:val="24"/>
          <w:lang w:val="pl-PL"/>
        </w:rPr>
        <w:t>Gini</w:t>
      </w:r>
      <w:proofErr w:type="spellEnd"/>
      <w:r w:rsidR="004A7D00">
        <w:rPr>
          <w:rFonts w:ascii="Times New Roman" w:hAnsi="Times New Roman" w:cs="Times New Roman"/>
          <w:sz w:val="24"/>
          <w:szCs w:val="24"/>
          <w:lang w:val="pl-PL"/>
        </w:rPr>
        <w:t xml:space="preserve">, natomiast wpływ na wzrost gospodarczy był nieistotny. Realizacji funkcji redystrybucyjnej służyło zwiększanie </w:t>
      </w:r>
      <w:r w:rsidR="007C71CB">
        <w:rPr>
          <w:rFonts w:ascii="Times New Roman" w:hAnsi="Times New Roman" w:cs="Times New Roman"/>
          <w:sz w:val="24"/>
          <w:szCs w:val="24"/>
          <w:lang w:val="pl-PL"/>
        </w:rPr>
        <w:t xml:space="preserve">w strukturze </w:t>
      </w:r>
      <w:r w:rsidR="004A7D00">
        <w:rPr>
          <w:rFonts w:ascii="Times New Roman" w:hAnsi="Times New Roman" w:cs="Times New Roman"/>
          <w:sz w:val="24"/>
          <w:szCs w:val="24"/>
          <w:lang w:val="pl-PL"/>
        </w:rPr>
        <w:t>wydatków na ochronę zdrowia</w:t>
      </w:r>
      <w:r w:rsidR="007C71CB">
        <w:rPr>
          <w:rFonts w:ascii="Times New Roman" w:hAnsi="Times New Roman" w:cs="Times New Roman"/>
          <w:sz w:val="24"/>
          <w:szCs w:val="24"/>
          <w:lang w:val="pl-PL"/>
        </w:rPr>
        <w:t>, ochronę środowiska i</w:t>
      </w:r>
      <w:r w:rsidR="004A7D00">
        <w:rPr>
          <w:rFonts w:ascii="Times New Roman" w:hAnsi="Times New Roman" w:cs="Times New Roman"/>
          <w:sz w:val="24"/>
          <w:szCs w:val="24"/>
          <w:lang w:val="pl-PL"/>
        </w:rPr>
        <w:t xml:space="preserve"> na opiekę socjalną</w:t>
      </w:r>
      <w:r w:rsidR="007C71CB">
        <w:rPr>
          <w:rFonts w:ascii="Times New Roman" w:hAnsi="Times New Roman" w:cs="Times New Roman"/>
          <w:sz w:val="24"/>
          <w:szCs w:val="24"/>
          <w:lang w:val="pl-PL"/>
        </w:rPr>
        <w:t xml:space="preserve">, ale w przypadku tych ostatnich zależność nie była statystycznie istotna. Co prawda w modelu 2, gdzie uwzględniono nie udziały ale poziomy określonych kategorii wydatkowych, ocena parametru przy zmiennej GF10 była statystycznie istotna, ale wynika to głównie z jej dominującej pozycji w strukturze wydatków (w modelu tym nie ma zmiennej GF, i jej wpływ w największy stopniu przejęła kategoria największych wydatków, czyli GF10). </w:t>
      </w:r>
      <w:r w:rsidR="00862FF8">
        <w:rPr>
          <w:rFonts w:ascii="Times New Roman" w:hAnsi="Times New Roman" w:cs="Times New Roman"/>
          <w:sz w:val="24"/>
          <w:szCs w:val="24"/>
          <w:lang w:val="pl-PL"/>
        </w:rPr>
        <w:t>Z kolei w</w:t>
      </w:r>
      <w:r w:rsidR="007C71CB">
        <w:rPr>
          <w:rFonts w:ascii="Times New Roman" w:hAnsi="Times New Roman" w:cs="Times New Roman"/>
          <w:sz w:val="24"/>
          <w:szCs w:val="24"/>
          <w:lang w:val="pl-PL"/>
        </w:rPr>
        <w:t xml:space="preserve"> modelu wzrostu </w:t>
      </w:r>
      <w:r w:rsidR="00862FF8">
        <w:rPr>
          <w:rFonts w:ascii="Times New Roman" w:hAnsi="Times New Roman" w:cs="Times New Roman"/>
          <w:sz w:val="24"/>
          <w:szCs w:val="24"/>
          <w:lang w:val="pl-PL"/>
        </w:rPr>
        <w:t>gospodarczego jedyną kategorią wydatkową, która wywierała istotny wpływ na zmienną objaśnianą były wydatki na sprawy gospodarcze (i to tylko w modelu udziałowym): zwiększanie ich udziału w strukturze wydatków intensyfikowało tempo wzrostu. Natomiast wzrost udziału wydatków w kapitał ludzki, zarówno w ujęciu wąskim, jak i szerokim, wykazał wpływ dodatni, ale statystycznie nieistotny, co jest niezgodne z teorią wzrostu, potwierdzoną w większości badań empirycznych. Jednakże w literaturze podkreśla się długie opóźnienia czasowe niezbędne do ujawnienia się skutków zwiększenia nakładów na kapitał ludz</w:t>
      </w:r>
      <w:r w:rsidR="00182637">
        <w:rPr>
          <w:rFonts w:ascii="Times New Roman" w:hAnsi="Times New Roman" w:cs="Times New Roman"/>
          <w:sz w:val="24"/>
          <w:szCs w:val="24"/>
          <w:lang w:val="pl-PL"/>
        </w:rPr>
        <w:t xml:space="preserve">ki, co może tłumaczyć brak ich występowania w </w:t>
      </w:r>
      <w:r w:rsidR="00182637">
        <w:rPr>
          <w:rFonts w:ascii="Times New Roman" w:hAnsi="Times New Roman" w:cs="Times New Roman"/>
          <w:sz w:val="24"/>
          <w:szCs w:val="24"/>
          <w:lang w:val="pl-PL"/>
        </w:rPr>
        <w:lastRenderedPageBreak/>
        <w:t xml:space="preserve">powyższych modelach, gdzie co prawda wprowadzono opóźnienie pomiędzy zmiennymi, ale zbyt krótkie, aby można było zaobserwować efekty długoterminowe. Ponadto w modelach, ze względu na niedostępność danych, wykorzystano bardzo krótkie, zaledwie 13-letnie szeregi czasowe, </w:t>
      </w:r>
      <w:r w:rsidR="006C3462">
        <w:rPr>
          <w:rFonts w:ascii="Times New Roman" w:hAnsi="Times New Roman" w:cs="Times New Roman"/>
          <w:sz w:val="24"/>
          <w:szCs w:val="24"/>
          <w:lang w:val="pl-PL"/>
        </w:rPr>
        <w:t>co nakazuje</w:t>
      </w:r>
      <w:r w:rsidR="00182637">
        <w:rPr>
          <w:rFonts w:ascii="Times New Roman" w:hAnsi="Times New Roman" w:cs="Times New Roman"/>
          <w:sz w:val="24"/>
          <w:szCs w:val="24"/>
          <w:lang w:val="pl-PL"/>
        </w:rPr>
        <w:t xml:space="preserve"> traktować wnioski z dużą ostrożnością.  </w:t>
      </w:r>
    </w:p>
    <w:p w:rsidR="00220FC6" w:rsidRDefault="00220FC6" w:rsidP="00674034">
      <w:pPr>
        <w:spacing w:after="0" w:line="360" w:lineRule="auto"/>
        <w:jc w:val="both"/>
        <w:rPr>
          <w:rFonts w:ascii="Times New Roman" w:hAnsi="Times New Roman" w:cs="Times New Roman"/>
          <w:sz w:val="24"/>
          <w:szCs w:val="24"/>
          <w:lang w:val="pl-PL"/>
        </w:rPr>
      </w:pPr>
    </w:p>
    <w:p w:rsidR="00674034" w:rsidRPr="00220FC6" w:rsidRDefault="00674034" w:rsidP="00674034">
      <w:pPr>
        <w:pStyle w:val="Akapitzlist"/>
        <w:numPr>
          <w:ilvl w:val="0"/>
          <w:numId w:val="8"/>
        </w:numPr>
        <w:spacing w:after="0" w:line="360" w:lineRule="auto"/>
        <w:jc w:val="both"/>
        <w:rPr>
          <w:rFonts w:ascii="Times New Roman" w:hAnsi="Times New Roman" w:cs="Times New Roman"/>
          <w:b/>
          <w:sz w:val="24"/>
          <w:szCs w:val="24"/>
          <w:lang w:val="pl-PL"/>
        </w:rPr>
      </w:pPr>
      <w:r w:rsidRPr="00220FC6">
        <w:rPr>
          <w:rFonts w:ascii="Times New Roman" w:hAnsi="Times New Roman" w:cs="Times New Roman"/>
          <w:b/>
          <w:sz w:val="24"/>
          <w:szCs w:val="24"/>
          <w:lang w:val="pl-PL"/>
        </w:rPr>
        <w:t>Wnioski</w:t>
      </w:r>
    </w:p>
    <w:p w:rsidR="00674034" w:rsidRPr="00674034" w:rsidRDefault="00674034" w:rsidP="00220FC6">
      <w:pPr>
        <w:spacing w:after="0" w:line="360" w:lineRule="auto"/>
        <w:ind w:firstLine="709"/>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Przedstawiona w artykule analiza porównawcza </w:t>
      </w:r>
      <w:r w:rsidR="00220FC6">
        <w:rPr>
          <w:rFonts w:ascii="Times New Roman" w:hAnsi="Times New Roman" w:cs="Times New Roman"/>
          <w:sz w:val="24"/>
          <w:szCs w:val="24"/>
          <w:lang w:val="pl-PL"/>
        </w:rPr>
        <w:t xml:space="preserve">struktury wydatków publicznych w krajach ESW11 w latach 2002-2014 pokazuje duże zróżnicowanie pomiędzy krajami, odzwierciedlając zróżnicowany charakter prowadzonej przez nie polityki fiskalnej, co stanowi potwierdzenie sformułowanej we wstępie </w:t>
      </w:r>
      <w:r w:rsidR="00605F3A">
        <w:rPr>
          <w:rFonts w:ascii="Times New Roman" w:hAnsi="Times New Roman" w:cs="Times New Roman"/>
          <w:sz w:val="24"/>
          <w:szCs w:val="24"/>
          <w:lang w:val="pl-PL"/>
        </w:rPr>
        <w:t>tezy badawczej</w:t>
      </w:r>
      <w:r w:rsidR="00220FC6">
        <w:rPr>
          <w:rFonts w:ascii="Times New Roman" w:hAnsi="Times New Roman" w:cs="Times New Roman"/>
          <w:sz w:val="24"/>
          <w:szCs w:val="24"/>
          <w:lang w:val="pl-PL"/>
        </w:rPr>
        <w:t>. Trendy zarysowane w okresie przedkryzysowym, wskazujące na stopni</w:t>
      </w:r>
      <w:r w:rsidR="00FD7DB2">
        <w:rPr>
          <w:rFonts w:ascii="Times New Roman" w:hAnsi="Times New Roman" w:cs="Times New Roman"/>
          <w:sz w:val="24"/>
          <w:szCs w:val="24"/>
          <w:lang w:val="pl-PL"/>
        </w:rPr>
        <w:t>owe obniżanie poziomu wydatków</w:t>
      </w:r>
      <w:r w:rsidR="00220FC6">
        <w:rPr>
          <w:rFonts w:ascii="Times New Roman" w:hAnsi="Times New Roman" w:cs="Times New Roman"/>
          <w:sz w:val="24"/>
          <w:szCs w:val="24"/>
          <w:lang w:val="pl-PL"/>
        </w:rPr>
        <w:t xml:space="preserve">, zostały odwrócone w wyniku aktywnego wykorzystania polityki </w:t>
      </w:r>
      <w:r w:rsidR="00FD7DB2">
        <w:rPr>
          <w:rFonts w:ascii="Times New Roman" w:hAnsi="Times New Roman" w:cs="Times New Roman"/>
          <w:sz w:val="24"/>
          <w:szCs w:val="24"/>
          <w:lang w:val="pl-PL"/>
        </w:rPr>
        <w:t xml:space="preserve">fiskalnej do zwalczania skutków kryzysu. Struktura wydatków jest relatywnie stabilna i nie wykazuje skłonności do konwergencji. Krajami o najbardziej </w:t>
      </w:r>
      <w:proofErr w:type="spellStart"/>
      <w:r w:rsidR="00FD7DB2">
        <w:rPr>
          <w:rFonts w:ascii="Times New Roman" w:hAnsi="Times New Roman" w:cs="Times New Roman"/>
          <w:sz w:val="24"/>
          <w:szCs w:val="24"/>
          <w:lang w:val="pl-PL"/>
        </w:rPr>
        <w:t>prowzrostowej</w:t>
      </w:r>
      <w:proofErr w:type="spellEnd"/>
      <w:r w:rsidR="00FD7DB2">
        <w:rPr>
          <w:rFonts w:ascii="Times New Roman" w:hAnsi="Times New Roman" w:cs="Times New Roman"/>
          <w:sz w:val="24"/>
          <w:szCs w:val="24"/>
          <w:lang w:val="pl-PL"/>
        </w:rPr>
        <w:t xml:space="preserve"> strukturze wydatków publicznych są kraje bałtyckie oraz Czechy, najmniej zaś Słowacja. </w:t>
      </w:r>
      <w:r w:rsidR="005B681C">
        <w:rPr>
          <w:rFonts w:ascii="Times New Roman" w:hAnsi="Times New Roman" w:cs="Times New Roman"/>
          <w:sz w:val="24"/>
          <w:szCs w:val="24"/>
          <w:lang w:val="pl-PL"/>
        </w:rPr>
        <w:t>Polska charakteryzuje się relatywnie niskim poziomem wydatków produktywnych, i zajęła w</w:t>
      </w:r>
      <w:r w:rsidR="00FD7DB2">
        <w:rPr>
          <w:rFonts w:ascii="Times New Roman" w:hAnsi="Times New Roman" w:cs="Times New Roman"/>
          <w:sz w:val="24"/>
          <w:szCs w:val="24"/>
          <w:lang w:val="pl-PL"/>
        </w:rPr>
        <w:t xml:space="preserve"> przedstawiony</w:t>
      </w:r>
      <w:r w:rsidR="005B681C">
        <w:rPr>
          <w:rFonts w:ascii="Times New Roman" w:hAnsi="Times New Roman" w:cs="Times New Roman"/>
          <w:sz w:val="24"/>
          <w:szCs w:val="24"/>
          <w:lang w:val="pl-PL"/>
        </w:rPr>
        <w:t>ch</w:t>
      </w:r>
      <w:r w:rsidR="00FD7DB2">
        <w:rPr>
          <w:rFonts w:ascii="Times New Roman" w:hAnsi="Times New Roman" w:cs="Times New Roman"/>
          <w:sz w:val="24"/>
          <w:szCs w:val="24"/>
          <w:lang w:val="pl-PL"/>
        </w:rPr>
        <w:t xml:space="preserve"> ranking</w:t>
      </w:r>
      <w:r w:rsidR="005B681C">
        <w:rPr>
          <w:rFonts w:ascii="Times New Roman" w:hAnsi="Times New Roman" w:cs="Times New Roman"/>
          <w:sz w:val="24"/>
          <w:szCs w:val="24"/>
          <w:lang w:val="pl-PL"/>
        </w:rPr>
        <w:t>ach</w:t>
      </w:r>
      <w:r w:rsidR="00FD7DB2">
        <w:rPr>
          <w:rFonts w:ascii="Times New Roman" w:hAnsi="Times New Roman" w:cs="Times New Roman"/>
          <w:sz w:val="24"/>
          <w:szCs w:val="24"/>
          <w:lang w:val="pl-PL"/>
        </w:rPr>
        <w:t xml:space="preserve"> </w:t>
      </w:r>
      <w:r w:rsidR="005B681C">
        <w:rPr>
          <w:rFonts w:ascii="Times New Roman" w:hAnsi="Times New Roman" w:cs="Times New Roman"/>
          <w:sz w:val="24"/>
          <w:szCs w:val="24"/>
          <w:lang w:val="pl-PL"/>
        </w:rPr>
        <w:t xml:space="preserve">przedostatnią pozycję, dlatego też istotnym wyzwaniem w ramach polityki finansowej państwa powinna być zmiana struktury wydatków publicznych w Polsce, nakierowana na zwiększenie udziału wydatków sprzyjających wzrostowi gospodarczemu. </w:t>
      </w:r>
    </w:p>
    <w:p w:rsidR="00806964" w:rsidRPr="00BC2A6A" w:rsidRDefault="00806964" w:rsidP="00605F3A">
      <w:pPr>
        <w:spacing w:before="240" w:after="60"/>
        <w:outlineLvl w:val="2"/>
        <w:rPr>
          <w:rFonts w:ascii="Times New Roman" w:eastAsia="Times New Roman" w:hAnsi="Times New Roman" w:cs="Times New Roman"/>
          <w:b/>
          <w:sz w:val="24"/>
          <w:lang w:val="pl-PL" w:eastAsia="pl-PL"/>
        </w:rPr>
      </w:pPr>
      <w:r w:rsidRPr="00BC2A6A">
        <w:rPr>
          <w:rFonts w:ascii="Times New Roman" w:eastAsia="Times New Roman" w:hAnsi="Times New Roman" w:cs="Times New Roman"/>
          <w:b/>
          <w:sz w:val="24"/>
          <w:lang w:val="pl-PL" w:eastAsia="pl-PL"/>
        </w:rPr>
        <w:t>Bibliografia</w:t>
      </w:r>
    </w:p>
    <w:p w:rsidR="00806964" w:rsidRPr="00806964" w:rsidRDefault="00806964" w:rsidP="00806964">
      <w:pPr>
        <w:pStyle w:val="Listapunktowana"/>
        <w:numPr>
          <w:ilvl w:val="0"/>
          <w:numId w:val="0"/>
        </w:numPr>
        <w:spacing w:after="60"/>
        <w:ind w:left="360" w:hanging="360"/>
        <w:rPr>
          <w:rFonts w:ascii="Times New Roman" w:hAnsi="Times New Roman" w:cs="Times New Roman"/>
          <w:sz w:val="20"/>
          <w:lang w:eastAsia="pl-PL"/>
        </w:rPr>
      </w:pPr>
      <w:proofErr w:type="spellStart"/>
      <w:r w:rsidRPr="00806964">
        <w:rPr>
          <w:rFonts w:ascii="Times New Roman" w:hAnsi="Times New Roman" w:cs="Times New Roman"/>
          <w:sz w:val="20"/>
          <w:lang w:eastAsia="pl-PL"/>
        </w:rPr>
        <w:t>Acocella</w:t>
      </w:r>
      <w:proofErr w:type="spellEnd"/>
      <w:r w:rsidRPr="00806964">
        <w:rPr>
          <w:rFonts w:ascii="Times New Roman" w:hAnsi="Times New Roman" w:cs="Times New Roman"/>
          <w:sz w:val="20"/>
          <w:lang w:eastAsia="pl-PL"/>
        </w:rPr>
        <w:t xml:space="preserve"> N. [2002], </w:t>
      </w:r>
      <w:r w:rsidRPr="00806964">
        <w:rPr>
          <w:rFonts w:ascii="Times New Roman" w:hAnsi="Times New Roman" w:cs="Times New Roman"/>
          <w:i/>
          <w:sz w:val="20"/>
          <w:lang w:eastAsia="pl-PL"/>
        </w:rPr>
        <w:t>Zasady polityki gospodarczej</w:t>
      </w:r>
      <w:r w:rsidRPr="00806964">
        <w:rPr>
          <w:rFonts w:ascii="Times New Roman" w:hAnsi="Times New Roman" w:cs="Times New Roman"/>
          <w:sz w:val="20"/>
          <w:lang w:eastAsia="pl-PL"/>
        </w:rPr>
        <w:t>, WN PWN, Warszawa.</w:t>
      </w:r>
    </w:p>
    <w:p w:rsidR="008402C1" w:rsidRDefault="008402C1" w:rsidP="008402C1">
      <w:pPr>
        <w:spacing w:after="0"/>
        <w:ind w:left="426" w:hanging="426"/>
        <w:rPr>
          <w:rFonts w:ascii="Times New Roman" w:hAnsi="Times New Roman" w:cs="Times New Roman"/>
          <w:sz w:val="20"/>
          <w:szCs w:val="24"/>
        </w:rPr>
      </w:pPr>
      <w:proofErr w:type="spellStart"/>
      <w:r w:rsidRPr="00C8522B">
        <w:rPr>
          <w:rFonts w:ascii="Times New Roman" w:hAnsi="Times New Roman" w:cs="Times New Roman"/>
          <w:sz w:val="20"/>
          <w:szCs w:val="24"/>
        </w:rPr>
        <w:t>Afonso</w:t>
      </w:r>
      <w:proofErr w:type="spellEnd"/>
      <w:r w:rsidRPr="00C8522B">
        <w:rPr>
          <w:rFonts w:ascii="Times New Roman" w:hAnsi="Times New Roman" w:cs="Times New Roman"/>
          <w:sz w:val="20"/>
          <w:szCs w:val="24"/>
        </w:rPr>
        <w:t xml:space="preserve"> A., </w:t>
      </w:r>
      <w:proofErr w:type="spellStart"/>
      <w:r w:rsidRPr="00C8522B">
        <w:rPr>
          <w:rFonts w:ascii="Times New Roman" w:hAnsi="Times New Roman" w:cs="Times New Roman"/>
          <w:sz w:val="20"/>
          <w:szCs w:val="24"/>
        </w:rPr>
        <w:t>Furceri</w:t>
      </w:r>
      <w:proofErr w:type="spellEnd"/>
      <w:r w:rsidRPr="00C8522B">
        <w:rPr>
          <w:rFonts w:ascii="Times New Roman" w:hAnsi="Times New Roman" w:cs="Times New Roman"/>
          <w:sz w:val="20"/>
          <w:szCs w:val="24"/>
        </w:rPr>
        <w:t xml:space="preserve"> D. [2008], </w:t>
      </w:r>
      <w:r w:rsidRPr="00C8522B">
        <w:rPr>
          <w:rFonts w:ascii="Times New Roman" w:hAnsi="Times New Roman" w:cs="Times New Roman"/>
          <w:i/>
          <w:sz w:val="20"/>
          <w:szCs w:val="24"/>
        </w:rPr>
        <w:t>Government Size, Composition, Volatility and Economic Growth</w:t>
      </w:r>
      <w:r w:rsidRPr="00C8522B">
        <w:rPr>
          <w:rFonts w:ascii="Times New Roman" w:hAnsi="Times New Roman" w:cs="Times New Roman"/>
          <w:sz w:val="20"/>
          <w:szCs w:val="24"/>
        </w:rPr>
        <w:t xml:space="preserve">, ECB Working Paper </w:t>
      </w:r>
      <w:proofErr w:type="spellStart"/>
      <w:r>
        <w:rPr>
          <w:rFonts w:ascii="Times New Roman" w:hAnsi="Times New Roman" w:cs="Times New Roman"/>
          <w:sz w:val="20"/>
          <w:szCs w:val="24"/>
        </w:rPr>
        <w:t>nr</w:t>
      </w:r>
      <w:proofErr w:type="spellEnd"/>
      <w:r>
        <w:rPr>
          <w:rFonts w:ascii="Times New Roman" w:hAnsi="Times New Roman" w:cs="Times New Roman"/>
          <w:sz w:val="20"/>
          <w:szCs w:val="24"/>
        </w:rPr>
        <w:t xml:space="preserve"> </w:t>
      </w:r>
      <w:r w:rsidRPr="00C8522B">
        <w:rPr>
          <w:rFonts w:ascii="Times New Roman" w:hAnsi="Times New Roman" w:cs="Times New Roman"/>
          <w:sz w:val="20"/>
          <w:szCs w:val="24"/>
        </w:rPr>
        <w:t>849.</w:t>
      </w:r>
    </w:p>
    <w:p w:rsidR="00806964" w:rsidRPr="009857BD" w:rsidRDefault="00806964" w:rsidP="00806964">
      <w:pPr>
        <w:pStyle w:val="Listapunktowana"/>
        <w:numPr>
          <w:ilvl w:val="0"/>
          <w:numId w:val="0"/>
        </w:numPr>
        <w:spacing w:after="60"/>
        <w:ind w:left="360" w:hanging="360"/>
        <w:rPr>
          <w:rFonts w:ascii="Times New Roman" w:hAnsi="Times New Roman" w:cs="Times New Roman"/>
          <w:sz w:val="20"/>
          <w:lang w:val="en-GB" w:eastAsia="pl-PL"/>
        </w:rPr>
      </w:pPr>
      <w:r w:rsidRPr="007B488D">
        <w:rPr>
          <w:rFonts w:ascii="Times New Roman" w:hAnsi="Times New Roman" w:cs="Times New Roman"/>
          <w:sz w:val="20"/>
          <w:lang w:val="en-US" w:eastAsia="pl-PL"/>
        </w:rPr>
        <w:t xml:space="preserve">Angelopoulos K.,  </w:t>
      </w:r>
      <w:proofErr w:type="spellStart"/>
      <w:r w:rsidRPr="007B488D">
        <w:rPr>
          <w:rFonts w:ascii="Times New Roman" w:hAnsi="Times New Roman" w:cs="Times New Roman"/>
          <w:sz w:val="20"/>
          <w:lang w:val="en-US" w:eastAsia="pl-PL"/>
        </w:rPr>
        <w:t>Philippopoul</w:t>
      </w:r>
      <w:r w:rsidRPr="009857BD">
        <w:rPr>
          <w:rFonts w:ascii="Times New Roman" w:hAnsi="Times New Roman" w:cs="Times New Roman"/>
          <w:sz w:val="20"/>
          <w:lang w:val="en-GB" w:eastAsia="pl-PL"/>
        </w:rPr>
        <w:t>os</w:t>
      </w:r>
      <w:proofErr w:type="spellEnd"/>
      <w:r w:rsidRPr="009857BD">
        <w:rPr>
          <w:rFonts w:ascii="Times New Roman" w:hAnsi="Times New Roman" w:cs="Times New Roman"/>
          <w:sz w:val="20"/>
          <w:lang w:val="en-GB" w:eastAsia="pl-PL"/>
        </w:rPr>
        <w:t xml:space="preserve"> A., </w:t>
      </w:r>
      <w:proofErr w:type="spellStart"/>
      <w:r w:rsidRPr="009857BD">
        <w:rPr>
          <w:rFonts w:ascii="Times New Roman" w:hAnsi="Times New Roman" w:cs="Times New Roman"/>
          <w:sz w:val="20"/>
          <w:lang w:val="en-GB" w:eastAsia="pl-PL"/>
        </w:rPr>
        <w:t>Tsionas</w:t>
      </w:r>
      <w:proofErr w:type="spellEnd"/>
      <w:r w:rsidRPr="009857BD">
        <w:rPr>
          <w:rFonts w:ascii="Times New Roman" w:hAnsi="Times New Roman" w:cs="Times New Roman"/>
          <w:sz w:val="20"/>
          <w:lang w:val="en-GB" w:eastAsia="pl-PL"/>
        </w:rPr>
        <w:t xml:space="preserve"> E. [2008], </w:t>
      </w:r>
      <w:r w:rsidRPr="009857BD">
        <w:rPr>
          <w:rFonts w:ascii="Times New Roman" w:hAnsi="Times New Roman" w:cs="Times New Roman"/>
          <w:i/>
          <w:sz w:val="20"/>
          <w:lang w:val="en-GB" w:eastAsia="pl-PL"/>
        </w:rPr>
        <w:t>Does public sector efficiency matter? Revisiting the relation between fiscal size and economic growth in a world sample</w:t>
      </w:r>
      <w:r w:rsidRPr="009857BD">
        <w:rPr>
          <w:rFonts w:ascii="Times New Roman" w:hAnsi="Times New Roman" w:cs="Times New Roman"/>
          <w:sz w:val="20"/>
          <w:lang w:val="en-GB" w:eastAsia="pl-PL"/>
        </w:rPr>
        <w:t xml:space="preserve">, </w:t>
      </w:r>
      <w:r>
        <w:rPr>
          <w:rFonts w:ascii="Times New Roman" w:hAnsi="Times New Roman" w:cs="Times New Roman"/>
          <w:sz w:val="20"/>
          <w:lang w:val="en-GB" w:eastAsia="pl-PL"/>
        </w:rPr>
        <w:t>“</w:t>
      </w:r>
      <w:r w:rsidRPr="009857BD">
        <w:rPr>
          <w:rFonts w:ascii="Times New Roman" w:hAnsi="Times New Roman" w:cs="Times New Roman"/>
          <w:sz w:val="20"/>
          <w:lang w:val="en-GB" w:eastAsia="pl-PL"/>
        </w:rPr>
        <w:t>Public Choice</w:t>
      </w:r>
      <w:r>
        <w:rPr>
          <w:rFonts w:ascii="Times New Roman" w:hAnsi="Times New Roman" w:cs="Times New Roman"/>
          <w:sz w:val="20"/>
          <w:lang w:val="en-GB" w:eastAsia="pl-PL"/>
        </w:rPr>
        <w:t>”</w:t>
      </w:r>
      <w:r w:rsidRPr="009857BD">
        <w:rPr>
          <w:rFonts w:ascii="Times New Roman" w:hAnsi="Times New Roman" w:cs="Times New Roman"/>
          <w:sz w:val="20"/>
          <w:lang w:val="en-GB" w:eastAsia="pl-PL"/>
        </w:rPr>
        <w:t>, 137, DOI</w:t>
      </w:r>
      <w:r>
        <w:rPr>
          <w:rFonts w:ascii="Times New Roman" w:hAnsi="Times New Roman" w:cs="Times New Roman"/>
          <w:sz w:val="20"/>
          <w:lang w:val="en-GB" w:eastAsia="pl-PL"/>
        </w:rPr>
        <w:t>:</w:t>
      </w:r>
      <w:r w:rsidRPr="009857BD">
        <w:rPr>
          <w:rFonts w:ascii="Times New Roman" w:hAnsi="Times New Roman" w:cs="Times New Roman"/>
          <w:sz w:val="20"/>
          <w:lang w:val="en-GB" w:eastAsia="pl-PL"/>
        </w:rPr>
        <w:t>10.1007/s11127-008-9324-8</w:t>
      </w:r>
    </w:p>
    <w:p w:rsidR="00806964" w:rsidRPr="009857BD" w:rsidRDefault="00806964" w:rsidP="00806964">
      <w:pPr>
        <w:pStyle w:val="Listapunktowana"/>
        <w:numPr>
          <w:ilvl w:val="0"/>
          <w:numId w:val="0"/>
        </w:numPr>
        <w:spacing w:after="60"/>
        <w:ind w:left="360" w:hanging="360"/>
        <w:rPr>
          <w:rFonts w:ascii="Times New Roman" w:hAnsi="Times New Roman" w:cs="Times New Roman"/>
          <w:sz w:val="20"/>
          <w:lang w:val="en-GB" w:eastAsia="pl-PL"/>
        </w:rPr>
      </w:pPr>
      <w:proofErr w:type="spellStart"/>
      <w:r w:rsidRPr="009857BD">
        <w:rPr>
          <w:rFonts w:ascii="Times New Roman" w:eastAsia="Times New Roman" w:hAnsi="Times New Roman" w:cs="Times New Roman"/>
          <w:sz w:val="20"/>
          <w:lang w:val="en-GB" w:eastAsia="pl-PL"/>
        </w:rPr>
        <w:t>Auerbach</w:t>
      </w:r>
      <w:proofErr w:type="spellEnd"/>
      <w:r w:rsidRPr="009857BD">
        <w:rPr>
          <w:rFonts w:ascii="Times New Roman" w:eastAsia="Times New Roman" w:hAnsi="Times New Roman" w:cs="Times New Roman"/>
          <w:sz w:val="20"/>
          <w:lang w:val="en-GB" w:eastAsia="pl-PL"/>
        </w:rPr>
        <w:t xml:space="preserve"> A., </w:t>
      </w:r>
      <w:proofErr w:type="spellStart"/>
      <w:r w:rsidRPr="009857BD">
        <w:rPr>
          <w:rFonts w:ascii="Times New Roman" w:eastAsia="Times New Roman" w:hAnsi="Times New Roman" w:cs="Times New Roman"/>
          <w:sz w:val="20"/>
          <w:lang w:val="en-GB" w:eastAsia="pl-PL"/>
        </w:rPr>
        <w:t>Gorodnichenko</w:t>
      </w:r>
      <w:proofErr w:type="spellEnd"/>
      <w:r w:rsidRPr="009857BD">
        <w:rPr>
          <w:rFonts w:ascii="Times New Roman" w:eastAsia="Times New Roman" w:hAnsi="Times New Roman" w:cs="Times New Roman"/>
          <w:sz w:val="20"/>
          <w:lang w:val="en-GB" w:eastAsia="pl-PL"/>
        </w:rPr>
        <w:t xml:space="preserve"> Y. [2013], </w:t>
      </w:r>
      <w:r w:rsidRPr="009857BD">
        <w:rPr>
          <w:rFonts w:ascii="Times New Roman" w:eastAsia="Times New Roman" w:hAnsi="Times New Roman" w:cs="Times New Roman"/>
          <w:i/>
          <w:sz w:val="20"/>
          <w:lang w:val="en-GB" w:eastAsia="pl-PL"/>
        </w:rPr>
        <w:t>Fiscal Multipliers in Recession and Expansion</w:t>
      </w:r>
      <w:r w:rsidRPr="009857BD">
        <w:rPr>
          <w:rFonts w:ascii="Times New Roman" w:eastAsia="Times New Roman" w:hAnsi="Times New Roman" w:cs="Times New Roman"/>
          <w:sz w:val="20"/>
          <w:lang w:val="en-GB" w:eastAsia="pl-PL"/>
        </w:rPr>
        <w:t xml:space="preserve"> [w:] </w:t>
      </w:r>
      <w:r w:rsidRPr="009857BD">
        <w:rPr>
          <w:rFonts w:ascii="Times New Roman" w:eastAsia="Times New Roman" w:hAnsi="Times New Roman" w:cs="Times New Roman"/>
          <w:i/>
          <w:sz w:val="20"/>
          <w:lang w:val="en-GB" w:eastAsia="pl-PL"/>
        </w:rPr>
        <w:t>Fiscal Policy after the Financial Crisis</w:t>
      </w:r>
      <w:r w:rsidRPr="009857BD">
        <w:rPr>
          <w:rFonts w:ascii="Times New Roman" w:eastAsia="Times New Roman" w:hAnsi="Times New Roman" w:cs="Times New Roman"/>
          <w:sz w:val="20"/>
          <w:lang w:val="en-GB" w:eastAsia="pl-PL"/>
        </w:rPr>
        <w:t xml:space="preserve">, red. </w:t>
      </w:r>
      <w:proofErr w:type="spellStart"/>
      <w:r w:rsidRPr="009857BD">
        <w:rPr>
          <w:rFonts w:ascii="Times New Roman" w:eastAsia="Times New Roman" w:hAnsi="Times New Roman" w:cs="Times New Roman"/>
          <w:sz w:val="20"/>
          <w:lang w:val="en-GB" w:eastAsia="pl-PL"/>
        </w:rPr>
        <w:t>A.Alesina</w:t>
      </w:r>
      <w:proofErr w:type="spellEnd"/>
      <w:r w:rsidRPr="009857BD">
        <w:rPr>
          <w:rFonts w:ascii="Times New Roman" w:eastAsia="Times New Roman" w:hAnsi="Times New Roman" w:cs="Times New Roman"/>
          <w:sz w:val="20"/>
          <w:lang w:val="en-GB" w:eastAsia="pl-PL"/>
        </w:rPr>
        <w:t xml:space="preserve"> i </w:t>
      </w:r>
      <w:proofErr w:type="spellStart"/>
      <w:r w:rsidRPr="009857BD">
        <w:rPr>
          <w:rFonts w:ascii="Times New Roman" w:eastAsia="Times New Roman" w:hAnsi="Times New Roman" w:cs="Times New Roman"/>
          <w:sz w:val="20"/>
          <w:lang w:val="en-GB" w:eastAsia="pl-PL"/>
        </w:rPr>
        <w:t>F.Giavazzi</w:t>
      </w:r>
      <w:proofErr w:type="spellEnd"/>
      <w:r w:rsidRPr="009857BD">
        <w:rPr>
          <w:rFonts w:ascii="Times New Roman" w:eastAsia="Times New Roman" w:hAnsi="Times New Roman" w:cs="Times New Roman"/>
          <w:sz w:val="20"/>
          <w:lang w:val="en-GB" w:eastAsia="pl-PL"/>
        </w:rPr>
        <w:t>, The University of Chicago Press, Chicago and London</w:t>
      </w:r>
    </w:p>
    <w:p w:rsidR="00806964" w:rsidRPr="009857BD" w:rsidRDefault="00806964" w:rsidP="00806964">
      <w:pPr>
        <w:pStyle w:val="Listapunktowana"/>
        <w:numPr>
          <w:ilvl w:val="0"/>
          <w:numId w:val="0"/>
        </w:numPr>
        <w:tabs>
          <w:tab w:val="left" w:pos="5490"/>
        </w:tabs>
        <w:spacing w:after="60"/>
        <w:ind w:left="360" w:hanging="360"/>
        <w:rPr>
          <w:rFonts w:ascii="Times New Roman" w:hAnsi="Times New Roman" w:cs="Times New Roman"/>
          <w:sz w:val="20"/>
          <w:lang w:val="en-GB" w:eastAsia="pl-PL"/>
        </w:rPr>
      </w:pPr>
      <w:proofErr w:type="spellStart"/>
      <w:r w:rsidRPr="009857BD">
        <w:rPr>
          <w:rFonts w:ascii="Times New Roman" w:hAnsi="Times New Roman" w:cs="Times New Roman"/>
          <w:sz w:val="20"/>
          <w:lang w:val="en-GB" w:eastAsia="pl-PL"/>
        </w:rPr>
        <w:t>Barro</w:t>
      </w:r>
      <w:proofErr w:type="spellEnd"/>
      <w:r w:rsidRPr="009857BD">
        <w:rPr>
          <w:rFonts w:ascii="Times New Roman" w:hAnsi="Times New Roman" w:cs="Times New Roman"/>
          <w:sz w:val="20"/>
          <w:lang w:val="en-GB" w:eastAsia="pl-PL"/>
        </w:rPr>
        <w:t xml:space="preserve"> R.J. [1990], </w:t>
      </w:r>
      <w:r w:rsidRPr="00806964">
        <w:rPr>
          <w:rFonts w:ascii="Times New Roman" w:hAnsi="Times New Roman" w:cs="Times New Roman"/>
          <w:i/>
          <w:sz w:val="20"/>
          <w:lang w:val="en-GB" w:eastAsia="pl-PL"/>
        </w:rPr>
        <w:t>Government Spending in a Simple Model of Endogenous Growth</w:t>
      </w:r>
      <w:r w:rsidRPr="009857BD">
        <w:rPr>
          <w:rFonts w:ascii="Times New Roman" w:hAnsi="Times New Roman" w:cs="Times New Roman"/>
          <w:sz w:val="20"/>
          <w:lang w:val="en-GB" w:eastAsia="pl-PL"/>
        </w:rPr>
        <w:t xml:space="preserve">, </w:t>
      </w:r>
      <w:r>
        <w:rPr>
          <w:rFonts w:ascii="Times New Roman" w:hAnsi="Times New Roman" w:cs="Times New Roman"/>
          <w:sz w:val="20"/>
          <w:lang w:val="en-GB" w:eastAsia="pl-PL"/>
        </w:rPr>
        <w:t>“</w:t>
      </w:r>
      <w:r w:rsidRPr="009857BD">
        <w:rPr>
          <w:rFonts w:ascii="Times New Roman" w:hAnsi="Times New Roman" w:cs="Times New Roman"/>
          <w:sz w:val="20"/>
          <w:lang w:val="en-GB" w:eastAsia="pl-PL"/>
        </w:rPr>
        <w:t>Journal of Political Economy</w:t>
      </w:r>
      <w:r>
        <w:rPr>
          <w:rFonts w:ascii="Times New Roman" w:hAnsi="Times New Roman" w:cs="Times New Roman"/>
          <w:sz w:val="20"/>
          <w:lang w:val="en-GB" w:eastAsia="pl-PL"/>
        </w:rPr>
        <w:t>”</w:t>
      </w:r>
      <w:r w:rsidRPr="009857BD">
        <w:rPr>
          <w:rFonts w:ascii="Times New Roman" w:hAnsi="Times New Roman" w:cs="Times New Roman"/>
          <w:sz w:val="20"/>
          <w:lang w:val="en-GB" w:eastAsia="pl-PL"/>
        </w:rPr>
        <w:t>, vol.98, no.5</w:t>
      </w:r>
    </w:p>
    <w:p w:rsidR="00806964" w:rsidRPr="00C43C6C" w:rsidRDefault="00806964" w:rsidP="00806964">
      <w:pPr>
        <w:pStyle w:val="Listapunktowana"/>
        <w:numPr>
          <w:ilvl w:val="0"/>
          <w:numId w:val="0"/>
        </w:numPr>
        <w:spacing w:after="60"/>
        <w:ind w:left="360" w:hanging="360"/>
        <w:rPr>
          <w:rFonts w:ascii="Times New Roman" w:hAnsi="Times New Roman" w:cs="Times New Roman"/>
          <w:sz w:val="20"/>
          <w:lang w:val="en-GB" w:eastAsia="pl-PL"/>
        </w:rPr>
      </w:pPr>
      <w:proofErr w:type="spellStart"/>
      <w:r w:rsidRPr="00C43C6C">
        <w:rPr>
          <w:rFonts w:ascii="Times New Roman" w:hAnsi="Times New Roman" w:cs="Times New Roman"/>
          <w:sz w:val="20"/>
          <w:lang w:val="en-GB" w:eastAsia="pl-PL"/>
        </w:rPr>
        <w:t>Benos</w:t>
      </w:r>
      <w:proofErr w:type="spellEnd"/>
      <w:r>
        <w:rPr>
          <w:rFonts w:ascii="Times New Roman" w:hAnsi="Times New Roman" w:cs="Times New Roman"/>
          <w:sz w:val="20"/>
          <w:lang w:val="en-GB" w:eastAsia="pl-PL"/>
        </w:rPr>
        <w:t xml:space="preserve"> N [2009], </w:t>
      </w:r>
      <w:r w:rsidRPr="001264DD">
        <w:rPr>
          <w:rFonts w:ascii="Times New Roman" w:hAnsi="Times New Roman" w:cs="Times New Roman"/>
          <w:i/>
          <w:sz w:val="20"/>
          <w:lang w:val="en-GB" w:eastAsia="pl-PL"/>
        </w:rPr>
        <w:t>Fiscal policy and economic growth: empirical evidence from EU countries</w:t>
      </w:r>
      <w:r>
        <w:rPr>
          <w:rFonts w:ascii="Times New Roman" w:hAnsi="Times New Roman" w:cs="Times New Roman"/>
          <w:sz w:val="20"/>
          <w:lang w:val="en-GB" w:eastAsia="pl-PL"/>
        </w:rPr>
        <w:t xml:space="preserve">, </w:t>
      </w:r>
      <w:r w:rsidRPr="00C43C6C">
        <w:rPr>
          <w:rFonts w:ascii="Times New Roman" w:hAnsi="Times New Roman" w:cs="Times New Roman"/>
          <w:sz w:val="20"/>
          <w:lang w:val="en-GB" w:eastAsia="pl-PL"/>
        </w:rPr>
        <w:t>MPRA Paper No. 19174,</w:t>
      </w:r>
      <w:r>
        <w:rPr>
          <w:rFonts w:ascii="Times New Roman" w:hAnsi="Times New Roman" w:cs="Times New Roman"/>
          <w:sz w:val="20"/>
          <w:lang w:val="en-GB" w:eastAsia="pl-PL"/>
        </w:rPr>
        <w:t xml:space="preserve">  </w:t>
      </w:r>
      <w:r w:rsidRPr="00C43C6C">
        <w:rPr>
          <w:rFonts w:ascii="Times New Roman" w:hAnsi="Times New Roman" w:cs="Times New Roman"/>
          <w:sz w:val="20"/>
          <w:lang w:val="en-GB" w:eastAsia="pl-PL"/>
        </w:rPr>
        <w:t>http://mpra.ub.uni-muenchen.de/19174/</w:t>
      </w:r>
    </w:p>
    <w:p w:rsidR="00806964" w:rsidRDefault="00806964" w:rsidP="00806964">
      <w:pPr>
        <w:pStyle w:val="Listapunktowana"/>
        <w:numPr>
          <w:ilvl w:val="0"/>
          <w:numId w:val="0"/>
        </w:numPr>
        <w:spacing w:after="60"/>
        <w:ind w:left="360" w:hanging="360"/>
        <w:rPr>
          <w:rFonts w:ascii="Times New Roman" w:hAnsi="Times New Roman" w:cs="Times New Roman"/>
          <w:sz w:val="20"/>
          <w:lang w:val="en-GB" w:eastAsia="pl-PL"/>
        </w:rPr>
      </w:pPr>
      <w:proofErr w:type="spellStart"/>
      <w:r>
        <w:rPr>
          <w:rFonts w:ascii="Times New Roman" w:hAnsi="Times New Roman" w:cs="Times New Roman"/>
          <w:sz w:val="20"/>
          <w:lang w:val="en-GB" w:eastAsia="pl-PL"/>
        </w:rPr>
        <w:t>Ferreiro</w:t>
      </w:r>
      <w:proofErr w:type="spellEnd"/>
      <w:r>
        <w:rPr>
          <w:rFonts w:ascii="Times New Roman" w:hAnsi="Times New Roman" w:cs="Times New Roman"/>
          <w:sz w:val="20"/>
          <w:lang w:val="en-GB" w:eastAsia="pl-PL"/>
        </w:rPr>
        <w:t xml:space="preserve"> J., Garcia-Del-Valle T., Gomez C. [2013], </w:t>
      </w:r>
      <w:r w:rsidRPr="00806964">
        <w:rPr>
          <w:rFonts w:ascii="Times New Roman" w:hAnsi="Times New Roman" w:cs="Times New Roman"/>
          <w:i/>
          <w:sz w:val="20"/>
          <w:lang w:val="en-GB" w:eastAsia="pl-PL"/>
        </w:rPr>
        <w:t>An Analysis of the Convergence of Public Expenditure in the European Union Countries</w:t>
      </w:r>
      <w:r>
        <w:rPr>
          <w:rFonts w:ascii="Times New Roman" w:hAnsi="Times New Roman" w:cs="Times New Roman"/>
          <w:sz w:val="20"/>
          <w:lang w:val="en-GB" w:eastAsia="pl-PL"/>
        </w:rPr>
        <w:t xml:space="preserve">, “American Journal of Economics and Sociology”, vol.72, </w:t>
      </w:r>
      <w:proofErr w:type="spellStart"/>
      <w:r>
        <w:rPr>
          <w:rFonts w:ascii="Times New Roman" w:hAnsi="Times New Roman" w:cs="Times New Roman"/>
          <w:sz w:val="20"/>
          <w:lang w:val="en-GB" w:eastAsia="pl-PL"/>
        </w:rPr>
        <w:t>nr</w:t>
      </w:r>
      <w:proofErr w:type="spellEnd"/>
      <w:r>
        <w:rPr>
          <w:rFonts w:ascii="Times New Roman" w:hAnsi="Times New Roman" w:cs="Times New Roman"/>
          <w:sz w:val="20"/>
          <w:lang w:val="en-GB" w:eastAsia="pl-PL"/>
        </w:rPr>
        <w:t xml:space="preserve"> 4, DOI:10.1111/ajes.12028</w:t>
      </w:r>
    </w:p>
    <w:p w:rsidR="00674034" w:rsidRDefault="00674034" w:rsidP="00806964">
      <w:pPr>
        <w:pStyle w:val="Listapunktowana"/>
        <w:numPr>
          <w:ilvl w:val="0"/>
          <w:numId w:val="0"/>
        </w:numPr>
        <w:spacing w:after="60"/>
        <w:ind w:left="360" w:hanging="360"/>
        <w:rPr>
          <w:rFonts w:ascii="Times New Roman" w:hAnsi="Times New Roman" w:cs="Times New Roman"/>
          <w:sz w:val="20"/>
          <w:lang w:val="en-GB" w:eastAsia="pl-PL"/>
        </w:rPr>
      </w:pPr>
      <w:proofErr w:type="spellStart"/>
      <w:r>
        <w:rPr>
          <w:rFonts w:ascii="Times New Roman" w:hAnsi="Times New Roman" w:cs="Times New Roman"/>
          <w:sz w:val="20"/>
          <w:lang w:val="en-GB" w:eastAsia="pl-PL"/>
        </w:rPr>
        <w:lastRenderedPageBreak/>
        <w:t>Dhont</w:t>
      </w:r>
      <w:proofErr w:type="spellEnd"/>
      <w:r w:rsidR="00BC2A6A">
        <w:rPr>
          <w:rFonts w:ascii="Times New Roman" w:hAnsi="Times New Roman" w:cs="Times New Roman"/>
          <w:sz w:val="20"/>
          <w:lang w:val="en-GB" w:eastAsia="pl-PL"/>
        </w:rPr>
        <w:t xml:space="preserve"> T., </w:t>
      </w:r>
      <w:proofErr w:type="spellStart"/>
      <w:r w:rsidR="00BC2A6A">
        <w:rPr>
          <w:rFonts w:ascii="Times New Roman" w:hAnsi="Times New Roman" w:cs="Times New Roman"/>
          <w:sz w:val="20"/>
          <w:lang w:val="en-GB" w:eastAsia="pl-PL"/>
        </w:rPr>
        <w:t>Heylen</w:t>
      </w:r>
      <w:proofErr w:type="spellEnd"/>
      <w:r w:rsidR="00BC2A6A">
        <w:rPr>
          <w:rFonts w:ascii="Times New Roman" w:hAnsi="Times New Roman" w:cs="Times New Roman"/>
          <w:sz w:val="20"/>
          <w:lang w:val="en-GB" w:eastAsia="pl-PL"/>
        </w:rPr>
        <w:t xml:space="preserve"> F [2009], </w:t>
      </w:r>
      <w:r w:rsidR="00BC2A6A" w:rsidRPr="00BC2A6A">
        <w:rPr>
          <w:rFonts w:ascii="Times New Roman" w:hAnsi="Times New Roman" w:cs="Times New Roman"/>
          <w:i/>
          <w:sz w:val="20"/>
          <w:lang w:val="en-GB" w:eastAsia="pl-PL"/>
        </w:rPr>
        <w:t>Employment and Growth in Europe and the US: The Role of Fiscal Policy Composition</w:t>
      </w:r>
      <w:r w:rsidR="00BC2A6A">
        <w:rPr>
          <w:rFonts w:ascii="Times New Roman" w:hAnsi="Times New Roman" w:cs="Times New Roman"/>
          <w:sz w:val="20"/>
          <w:lang w:val="en-GB" w:eastAsia="pl-PL"/>
        </w:rPr>
        <w:t>, “Oxford Economic Papers”, 61, DOI:10.1093/</w:t>
      </w:r>
      <w:proofErr w:type="spellStart"/>
      <w:r w:rsidR="00BC2A6A">
        <w:rPr>
          <w:rFonts w:ascii="Times New Roman" w:hAnsi="Times New Roman" w:cs="Times New Roman"/>
          <w:sz w:val="20"/>
          <w:lang w:val="en-GB" w:eastAsia="pl-PL"/>
        </w:rPr>
        <w:t>oep</w:t>
      </w:r>
      <w:proofErr w:type="spellEnd"/>
      <w:r w:rsidR="00BC2A6A">
        <w:rPr>
          <w:rFonts w:ascii="Times New Roman" w:hAnsi="Times New Roman" w:cs="Times New Roman"/>
          <w:sz w:val="20"/>
          <w:lang w:val="en-GB" w:eastAsia="pl-PL"/>
        </w:rPr>
        <w:t>/gpn034</w:t>
      </w:r>
    </w:p>
    <w:p w:rsidR="003A2722" w:rsidRDefault="003A2722" w:rsidP="00806964">
      <w:pPr>
        <w:pStyle w:val="Listapunktowana"/>
        <w:numPr>
          <w:ilvl w:val="0"/>
          <w:numId w:val="0"/>
        </w:numPr>
        <w:spacing w:after="60"/>
        <w:ind w:left="360" w:hanging="360"/>
        <w:rPr>
          <w:rFonts w:ascii="Times New Roman" w:hAnsi="Times New Roman" w:cs="Times New Roman"/>
          <w:sz w:val="20"/>
          <w:lang w:val="en-GB" w:eastAsia="pl-PL"/>
        </w:rPr>
      </w:pPr>
      <w:proofErr w:type="spellStart"/>
      <w:r>
        <w:rPr>
          <w:rFonts w:ascii="Times New Roman" w:hAnsi="Times New Roman" w:cs="Times New Roman"/>
          <w:sz w:val="20"/>
          <w:lang w:val="en-GB" w:eastAsia="pl-PL"/>
        </w:rPr>
        <w:t>Gemmell</w:t>
      </w:r>
      <w:proofErr w:type="spellEnd"/>
      <w:r>
        <w:rPr>
          <w:rFonts w:ascii="Times New Roman" w:hAnsi="Times New Roman" w:cs="Times New Roman"/>
          <w:sz w:val="20"/>
          <w:lang w:val="en-GB" w:eastAsia="pl-PL"/>
        </w:rPr>
        <w:t xml:space="preserve"> N., Kneller R., </w:t>
      </w:r>
      <w:proofErr w:type="spellStart"/>
      <w:r>
        <w:rPr>
          <w:rFonts w:ascii="Times New Roman" w:hAnsi="Times New Roman" w:cs="Times New Roman"/>
          <w:sz w:val="20"/>
          <w:lang w:val="en-GB" w:eastAsia="pl-PL"/>
        </w:rPr>
        <w:t>Sanz</w:t>
      </w:r>
      <w:proofErr w:type="spellEnd"/>
      <w:r>
        <w:rPr>
          <w:rFonts w:ascii="Times New Roman" w:hAnsi="Times New Roman" w:cs="Times New Roman"/>
          <w:sz w:val="20"/>
          <w:lang w:val="en-GB" w:eastAsia="pl-PL"/>
        </w:rPr>
        <w:t xml:space="preserve"> I. [2016], </w:t>
      </w:r>
      <w:r w:rsidRPr="003A2722">
        <w:rPr>
          <w:rFonts w:ascii="Times New Roman" w:hAnsi="Times New Roman" w:cs="Times New Roman"/>
          <w:i/>
          <w:sz w:val="20"/>
          <w:lang w:val="en-GB" w:eastAsia="pl-PL"/>
        </w:rPr>
        <w:t>Does the Composition of Government Expenditure Matter for Long-Run GDP Level?</w:t>
      </w:r>
      <w:r>
        <w:rPr>
          <w:rFonts w:ascii="Times New Roman" w:hAnsi="Times New Roman" w:cs="Times New Roman"/>
          <w:sz w:val="20"/>
          <w:lang w:val="en-GB" w:eastAsia="pl-PL"/>
        </w:rPr>
        <w:t>, “Oxford Bulletin of Economics and Statistics”, 78, 4, DOI:10.1111/obes.12121</w:t>
      </w:r>
    </w:p>
    <w:p w:rsidR="00806964" w:rsidRPr="009857BD" w:rsidRDefault="00806964" w:rsidP="00806964">
      <w:pPr>
        <w:pStyle w:val="Listapunktowana"/>
        <w:numPr>
          <w:ilvl w:val="0"/>
          <w:numId w:val="0"/>
        </w:numPr>
        <w:spacing w:after="60"/>
        <w:ind w:left="360" w:hanging="360"/>
        <w:rPr>
          <w:rFonts w:ascii="Times New Roman" w:hAnsi="Times New Roman" w:cs="Times New Roman"/>
          <w:sz w:val="20"/>
          <w:lang w:val="en-GB" w:eastAsia="pl-PL"/>
        </w:rPr>
      </w:pPr>
      <w:r w:rsidRPr="009857BD">
        <w:rPr>
          <w:rFonts w:ascii="Times New Roman" w:hAnsi="Times New Roman" w:cs="Times New Roman"/>
          <w:sz w:val="20"/>
          <w:lang w:val="en-GB" w:eastAsia="pl-PL"/>
        </w:rPr>
        <w:t xml:space="preserve">Ghosh S., </w:t>
      </w:r>
      <w:proofErr w:type="spellStart"/>
      <w:r w:rsidRPr="009857BD">
        <w:rPr>
          <w:rFonts w:ascii="Times New Roman" w:hAnsi="Times New Roman" w:cs="Times New Roman"/>
          <w:sz w:val="20"/>
          <w:lang w:val="en-GB" w:eastAsia="pl-PL"/>
        </w:rPr>
        <w:t>Gregoriou</w:t>
      </w:r>
      <w:proofErr w:type="spellEnd"/>
      <w:r w:rsidRPr="009857BD">
        <w:rPr>
          <w:rFonts w:ascii="Times New Roman" w:hAnsi="Times New Roman" w:cs="Times New Roman"/>
          <w:sz w:val="20"/>
          <w:lang w:val="en-GB" w:eastAsia="pl-PL"/>
        </w:rPr>
        <w:t xml:space="preserve"> A.</w:t>
      </w:r>
      <w:r>
        <w:rPr>
          <w:rFonts w:ascii="Times New Roman" w:hAnsi="Times New Roman" w:cs="Times New Roman"/>
          <w:sz w:val="20"/>
          <w:lang w:val="en-GB" w:eastAsia="pl-PL"/>
        </w:rPr>
        <w:t xml:space="preserve"> </w:t>
      </w:r>
      <w:r w:rsidRPr="009857BD">
        <w:rPr>
          <w:rFonts w:ascii="Times New Roman" w:hAnsi="Times New Roman" w:cs="Times New Roman"/>
          <w:sz w:val="20"/>
          <w:lang w:val="en-GB" w:eastAsia="pl-PL"/>
        </w:rPr>
        <w:t xml:space="preserve">[2008], </w:t>
      </w:r>
      <w:r w:rsidRPr="009857BD">
        <w:rPr>
          <w:rFonts w:ascii="Times New Roman" w:hAnsi="Times New Roman" w:cs="Times New Roman"/>
          <w:i/>
          <w:sz w:val="20"/>
          <w:lang w:val="en-GB" w:eastAsia="pl-PL"/>
        </w:rPr>
        <w:t>The composition of government spending and growth: is current or capital spending better?</w:t>
      </w:r>
      <w:r w:rsidRPr="009857BD">
        <w:rPr>
          <w:rFonts w:ascii="Times New Roman" w:hAnsi="Times New Roman" w:cs="Times New Roman"/>
          <w:sz w:val="20"/>
          <w:lang w:val="en-GB" w:eastAsia="pl-PL"/>
        </w:rPr>
        <w:t xml:space="preserve">, </w:t>
      </w:r>
      <w:r>
        <w:rPr>
          <w:rFonts w:ascii="Times New Roman" w:hAnsi="Times New Roman" w:cs="Times New Roman"/>
          <w:sz w:val="20"/>
          <w:lang w:val="en-GB" w:eastAsia="pl-PL"/>
        </w:rPr>
        <w:t>“</w:t>
      </w:r>
      <w:r w:rsidRPr="009857BD">
        <w:rPr>
          <w:rFonts w:ascii="Times New Roman" w:hAnsi="Times New Roman" w:cs="Times New Roman"/>
          <w:sz w:val="20"/>
          <w:lang w:val="en-GB" w:eastAsia="pl-PL"/>
        </w:rPr>
        <w:t>Oxford Economic Papers</w:t>
      </w:r>
      <w:r>
        <w:rPr>
          <w:rFonts w:ascii="Times New Roman" w:hAnsi="Times New Roman" w:cs="Times New Roman"/>
          <w:sz w:val="20"/>
          <w:lang w:val="en-GB" w:eastAsia="pl-PL"/>
        </w:rPr>
        <w:t>”</w:t>
      </w:r>
      <w:r w:rsidRPr="009857BD">
        <w:rPr>
          <w:rFonts w:ascii="Times New Roman" w:hAnsi="Times New Roman" w:cs="Times New Roman"/>
          <w:sz w:val="20"/>
          <w:lang w:val="en-GB" w:eastAsia="pl-PL"/>
        </w:rPr>
        <w:t xml:space="preserve"> 60, </w:t>
      </w:r>
      <w:r>
        <w:rPr>
          <w:rFonts w:ascii="Times New Roman" w:hAnsi="Times New Roman" w:cs="Times New Roman"/>
          <w:sz w:val="20"/>
          <w:lang w:val="en-GB" w:eastAsia="pl-PL"/>
        </w:rPr>
        <w:t>DOI</w:t>
      </w:r>
      <w:r w:rsidRPr="009857BD">
        <w:rPr>
          <w:rFonts w:ascii="Times New Roman" w:hAnsi="Times New Roman" w:cs="Times New Roman"/>
          <w:sz w:val="20"/>
          <w:lang w:val="en-GB" w:eastAsia="pl-PL"/>
        </w:rPr>
        <w:t>:10.1093/</w:t>
      </w:r>
      <w:proofErr w:type="spellStart"/>
      <w:r w:rsidRPr="009857BD">
        <w:rPr>
          <w:rFonts w:ascii="Times New Roman" w:hAnsi="Times New Roman" w:cs="Times New Roman"/>
          <w:sz w:val="20"/>
          <w:lang w:val="en-GB" w:eastAsia="pl-PL"/>
        </w:rPr>
        <w:t>oep</w:t>
      </w:r>
      <w:proofErr w:type="spellEnd"/>
      <w:r w:rsidRPr="009857BD">
        <w:rPr>
          <w:rFonts w:ascii="Times New Roman" w:hAnsi="Times New Roman" w:cs="Times New Roman"/>
          <w:sz w:val="20"/>
          <w:lang w:val="en-GB" w:eastAsia="pl-PL"/>
        </w:rPr>
        <w:t>/gpn005</w:t>
      </w:r>
    </w:p>
    <w:p w:rsidR="00806964" w:rsidRPr="009857BD" w:rsidRDefault="00806964" w:rsidP="00806964">
      <w:pPr>
        <w:pStyle w:val="Listapunktowana"/>
        <w:numPr>
          <w:ilvl w:val="0"/>
          <w:numId w:val="0"/>
        </w:numPr>
        <w:spacing w:after="60"/>
        <w:ind w:left="360" w:hanging="360"/>
        <w:rPr>
          <w:rFonts w:ascii="Times New Roman" w:hAnsi="Times New Roman" w:cs="Times New Roman"/>
          <w:sz w:val="20"/>
          <w:lang w:val="en-GB" w:eastAsia="pl-PL"/>
        </w:rPr>
      </w:pPr>
      <w:proofErr w:type="spellStart"/>
      <w:r w:rsidRPr="009857BD">
        <w:rPr>
          <w:rFonts w:ascii="Times New Roman" w:hAnsi="Times New Roman" w:cs="Times New Roman"/>
          <w:sz w:val="20"/>
          <w:lang w:val="en-GB" w:eastAsia="pl-PL"/>
        </w:rPr>
        <w:t>Glomm</w:t>
      </w:r>
      <w:proofErr w:type="spellEnd"/>
      <w:r w:rsidR="00BC2A6A">
        <w:rPr>
          <w:rFonts w:ascii="Times New Roman" w:hAnsi="Times New Roman" w:cs="Times New Roman"/>
          <w:sz w:val="20"/>
          <w:lang w:val="en-GB" w:eastAsia="pl-PL"/>
        </w:rPr>
        <w:t xml:space="preserve"> G., </w:t>
      </w:r>
      <w:proofErr w:type="spellStart"/>
      <w:r w:rsidR="00BC2A6A">
        <w:rPr>
          <w:rFonts w:ascii="Times New Roman" w:hAnsi="Times New Roman" w:cs="Times New Roman"/>
          <w:sz w:val="20"/>
          <w:lang w:val="en-GB" w:eastAsia="pl-PL"/>
        </w:rPr>
        <w:t>Ravikumar</w:t>
      </w:r>
      <w:proofErr w:type="spellEnd"/>
      <w:r w:rsidR="00BC2A6A">
        <w:rPr>
          <w:rFonts w:ascii="Times New Roman" w:hAnsi="Times New Roman" w:cs="Times New Roman"/>
          <w:sz w:val="20"/>
          <w:lang w:val="en-GB" w:eastAsia="pl-PL"/>
        </w:rPr>
        <w:t xml:space="preserve"> B. [1997], </w:t>
      </w:r>
      <w:r w:rsidR="00BC2A6A" w:rsidRPr="00BC2A6A">
        <w:rPr>
          <w:rFonts w:ascii="Times New Roman" w:hAnsi="Times New Roman" w:cs="Times New Roman"/>
          <w:i/>
          <w:sz w:val="20"/>
          <w:lang w:val="en-GB" w:eastAsia="pl-PL"/>
        </w:rPr>
        <w:t>Productive government expenditures and long-term growth</w:t>
      </w:r>
      <w:r w:rsidR="00BC2A6A">
        <w:rPr>
          <w:rFonts w:ascii="Times New Roman" w:hAnsi="Times New Roman" w:cs="Times New Roman"/>
          <w:sz w:val="20"/>
          <w:lang w:val="en-GB" w:eastAsia="pl-PL"/>
        </w:rPr>
        <w:t>, “Journal of Economic Dynamics and Control”, 21.</w:t>
      </w:r>
    </w:p>
    <w:p w:rsidR="00806964" w:rsidRPr="00806964" w:rsidRDefault="00806964" w:rsidP="00806964">
      <w:pPr>
        <w:pStyle w:val="Listapunktowana"/>
        <w:numPr>
          <w:ilvl w:val="0"/>
          <w:numId w:val="0"/>
        </w:numPr>
        <w:spacing w:after="60"/>
        <w:ind w:left="360" w:hanging="360"/>
        <w:rPr>
          <w:rFonts w:ascii="Times New Roman" w:hAnsi="Times New Roman" w:cs="Times New Roman"/>
          <w:sz w:val="20"/>
          <w:lang w:val="en-US" w:eastAsia="pl-PL"/>
        </w:rPr>
      </w:pPr>
      <w:proofErr w:type="spellStart"/>
      <w:r w:rsidRPr="00806964">
        <w:rPr>
          <w:rFonts w:ascii="Times New Roman" w:hAnsi="Times New Roman" w:cs="Times New Roman"/>
          <w:sz w:val="20"/>
          <w:lang w:val="en-US" w:eastAsia="pl-PL"/>
        </w:rPr>
        <w:t>Groneck</w:t>
      </w:r>
      <w:proofErr w:type="spellEnd"/>
      <w:r w:rsidR="00D572F5">
        <w:rPr>
          <w:rFonts w:ascii="Times New Roman" w:hAnsi="Times New Roman" w:cs="Times New Roman"/>
          <w:sz w:val="20"/>
          <w:lang w:val="en-US" w:eastAsia="pl-PL"/>
        </w:rPr>
        <w:t xml:space="preserve"> M. [2011], </w:t>
      </w:r>
      <w:r w:rsidR="00D572F5" w:rsidRPr="00D572F5">
        <w:rPr>
          <w:rFonts w:ascii="Times New Roman" w:hAnsi="Times New Roman" w:cs="Times New Roman"/>
          <w:i/>
          <w:sz w:val="20"/>
          <w:lang w:val="en-US" w:eastAsia="pl-PL"/>
        </w:rPr>
        <w:t>The golden rule of public finance and the composition of government expenditures: a growth and welfare analysis</w:t>
      </w:r>
      <w:r w:rsidR="00D572F5">
        <w:rPr>
          <w:rFonts w:ascii="Times New Roman" w:hAnsi="Times New Roman" w:cs="Times New Roman"/>
          <w:sz w:val="20"/>
          <w:lang w:val="en-US" w:eastAsia="pl-PL"/>
        </w:rPr>
        <w:t xml:space="preserve">, “Journal of Economic Policy Reform”, vol.14, </w:t>
      </w:r>
      <w:proofErr w:type="spellStart"/>
      <w:r w:rsidR="00D572F5">
        <w:rPr>
          <w:rFonts w:ascii="Times New Roman" w:hAnsi="Times New Roman" w:cs="Times New Roman"/>
          <w:sz w:val="20"/>
          <w:lang w:val="en-US" w:eastAsia="pl-PL"/>
        </w:rPr>
        <w:t>nr</w:t>
      </w:r>
      <w:proofErr w:type="spellEnd"/>
      <w:r w:rsidR="00D572F5">
        <w:rPr>
          <w:rFonts w:ascii="Times New Roman" w:hAnsi="Times New Roman" w:cs="Times New Roman"/>
          <w:sz w:val="20"/>
          <w:lang w:val="en-US" w:eastAsia="pl-PL"/>
        </w:rPr>
        <w:t>. 4, DOI:10.</w:t>
      </w:r>
      <w:r w:rsidR="00BC2A6A">
        <w:rPr>
          <w:rFonts w:ascii="Times New Roman" w:hAnsi="Times New Roman" w:cs="Times New Roman"/>
          <w:sz w:val="20"/>
          <w:lang w:val="en-US" w:eastAsia="pl-PL"/>
        </w:rPr>
        <w:t>1080/17487870.2011.590328</w:t>
      </w:r>
    </w:p>
    <w:p w:rsidR="00806964" w:rsidRPr="009857BD" w:rsidRDefault="00806964" w:rsidP="00806964">
      <w:pPr>
        <w:pStyle w:val="Listapunktowana"/>
        <w:numPr>
          <w:ilvl w:val="0"/>
          <w:numId w:val="0"/>
        </w:numPr>
        <w:spacing w:after="60"/>
        <w:ind w:left="360" w:hanging="360"/>
        <w:rPr>
          <w:rFonts w:ascii="Times New Roman" w:hAnsi="Times New Roman" w:cs="Times New Roman"/>
          <w:sz w:val="20"/>
          <w:lang w:eastAsia="pl-PL"/>
        </w:rPr>
      </w:pPr>
      <w:r w:rsidRPr="007B488D">
        <w:rPr>
          <w:rFonts w:ascii="Times New Roman" w:hAnsi="Times New Roman" w:cs="Times New Roman"/>
          <w:sz w:val="20"/>
          <w:lang w:eastAsia="pl-PL"/>
        </w:rPr>
        <w:t xml:space="preserve">Hall R.E., Taylor J.B. [1995], </w:t>
      </w:r>
      <w:r w:rsidRPr="007B488D">
        <w:rPr>
          <w:rFonts w:ascii="Times New Roman" w:hAnsi="Times New Roman" w:cs="Times New Roman"/>
          <w:i/>
          <w:sz w:val="20"/>
          <w:lang w:eastAsia="pl-PL"/>
        </w:rPr>
        <w:t xml:space="preserve">Makroekonomia. </w:t>
      </w:r>
      <w:r w:rsidRPr="009857BD">
        <w:rPr>
          <w:rFonts w:ascii="Times New Roman" w:hAnsi="Times New Roman" w:cs="Times New Roman"/>
          <w:i/>
          <w:sz w:val="20"/>
          <w:lang w:eastAsia="pl-PL"/>
        </w:rPr>
        <w:t>Teoria, funkcjonowanie i polityka</w:t>
      </w:r>
      <w:r w:rsidRPr="009857BD">
        <w:rPr>
          <w:rFonts w:ascii="Times New Roman" w:hAnsi="Times New Roman" w:cs="Times New Roman"/>
          <w:sz w:val="20"/>
          <w:lang w:eastAsia="pl-PL"/>
        </w:rPr>
        <w:t>, WN PWN, Warszawa.</w:t>
      </w:r>
    </w:p>
    <w:p w:rsidR="00806964" w:rsidRPr="009857BD" w:rsidRDefault="00806964" w:rsidP="00806964">
      <w:pPr>
        <w:pStyle w:val="Listapunktowana"/>
        <w:numPr>
          <w:ilvl w:val="0"/>
          <w:numId w:val="0"/>
        </w:numPr>
        <w:spacing w:after="60"/>
        <w:ind w:left="360" w:hanging="360"/>
        <w:rPr>
          <w:rFonts w:ascii="Times New Roman" w:hAnsi="Times New Roman" w:cs="Times New Roman"/>
          <w:sz w:val="20"/>
          <w:lang w:eastAsia="pl-PL"/>
        </w:rPr>
      </w:pPr>
      <w:r w:rsidRPr="009857BD">
        <w:rPr>
          <w:rFonts w:ascii="Times New Roman" w:hAnsi="Times New Roman" w:cs="Times New Roman"/>
          <w:sz w:val="20"/>
          <w:lang w:eastAsia="pl-PL"/>
        </w:rPr>
        <w:t xml:space="preserve">Łaski K., Osiatyński J., Zięba J. [2010], </w:t>
      </w:r>
      <w:r w:rsidRPr="009857BD">
        <w:rPr>
          <w:rFonts w:ascii="Times New Roman" w:hAnsi="Times New Roman" w:cs="Times New Roman"/>
          <w:i/>
          <w:sz w:val="20"/>
          <w:lang w:eastAsia="pl-PL"/>
        </w:rPr>
        <w:t>Mnożnik wydatków państwowych i szacunki jego wielkości dla Polski</w:t>
      </w:r>
      <w:r w:rsidRPr="009857BD">
        <w:rPr>
          <w:rFonts w:ascii="Times New Roman" w:hAnsi="Times New Roman" w:cs="Times New Roman"/>
          <w:sz w:val="20"/>
          <w:lang w:eastAsia="pl-PL"/>
        </w:rPr>
        <w:t>, Materiały</w:t>
      </w:r>
      <w:r>
        <w:rPr>
          <w:rFonts w:ascii="Times New Roman" w:hAnsi="Times New Roman" w:cs="Times New Roman"/>
          <w:sz w:val="20"/>
          <w:lang w:eastAsia="pl-PL"/>
        </w:rPr>
        <w:t xml:space="preserve"> i Studia nr 246, NBP, Warszawa</w:t>
      </w:r>
    </w:p>
    <w:p w:rsidR="00806964" w:rsidRPr="009857BD" w:rsidRDefault="00806964" w:rsidP="00806964">
      <w:pPr>
        <w:pStyle w:val="Listapunktowana"/>
        <w:numPr>
          <w:ilvl w:val="0"/>
          <w:numId w:val="0"/>
        </w:numPr>
        <w:spacing w:after="60"/>
        <w:ind w:left="360" w:hanging="360"/>
        <w:rPr>
          <w:rFonts w:ascii="Times New Roman" w:eastAsia="Times New Roman" w:hAnsi="Times New Roman" w:cs="Times New Roman"/>
          <w:sz w:val="20"/>
          <w:lang w:val="en-GB" w:eastAsia="pl-PL"/>
        </w:rPr>
      </w:pPr>
      <w:proofErr w:type="spellStart"/>
      <w:r w:rsidRPr="009857BD">
        <w:rPr>
          <w:rFonts w:ascii="Times New Roman" w:eastAsia="Times New Roman" w:hAnsi="Times New Roman" w:cs="Times New Roman"/>
          <w:sz w:val="20"/>
          <w:lang w:val="en-GB" w:eastAsia="pl-PL"/>
        </w:rPr>
        <w:t>Mineshima</w:t>
      </w:r>
      <w:proofErr w:type="spellEnd"/>
      <w:r w:rsidRPr="009857BD">
        <w:rPr>
          <w:rFonts w:ascii="Times New Roman" w:eastAsia="Times New Roman" w:hAnsi="Times New Roman" w:cs="Times New Roman"/>
          <w:sz w:val="20"/>
          <w:lang w:val="en-GB" w:eastAsia="pl-PL"/>
        </w:rPr>
        <w:t xml:space="preserve"> A., </w:t>
      </w:r>
      <w:proofErr w:type="spellStart"/>
      <w:r w:rsidRPr="009857BD">
        <w:rPr>
          <w:rFonts w:ascii="Times New Roman" w:eastAsia="Times New Roman" w:hAnsi="Times New Roman" w:cs="Times New Roman"/>
          <w:sz w:val="20"/>
          <w:lang w:val="en-GB" w:eastAsia="pl-PL"/>
        </w:rPr>
        <w:t>Poplawski</w:t>
      </w:r>
      <w:proofErr w:type="spellEnd"/>
      <w:r w:rsidRPr="009857BD">
        <w:rPr>
          <w:rFonts w:ascii="Times New Roman" w:eastAsia="Times New Roman" w:hAnsi="Times New Roman" w:cs="Times New Roman"/>
          <w:sz w:val="20"/>
          <w:lang w:val="en-GB" w:eastAsia="pl-PL"/>
        </w:rPr>
        <w:t xml:space="preserve">-Ribeiro M., Weber A. [2014], </w:t>
      </w:r>
      <w:r w:rsidRPr="009857BD">
        <w:rPr>
          <w:rFonts w:ascii="Times New Roman" w:eastAsia="Times New Roman" w:hAnsi="Times New Roman" w:cs="Times New Roman"/>
          <w:i/>
          <w:sz w:val="20"/>
          <w:lang w:val="en-GB" w:eastAsia="pl-PL"/>
        </w:rPr>
        <w:t>Size of fiscal multipliers</w:t>
      </w:r>
      <w:r w:rsidRPr="009857BD">
        <w:rPr>
          <w:rFonts w:ascii="Times New Roman" w:eastAsia="Times New Roman" w:hAnsi="Times New Roman" w:cs="Times New Roman"/>
          <w:sz w:val="20"/>
          <w:lang w:val="en-GB" w:eastAsia="pl-PL"/>
        </w:rPr>
        <w:t xml:space="preserve"> [w:] </w:t>
      </w:r>
      <w:r w:rsidRPr="009857BD">
        <w:rPr>
          <w:rFonts w:ascii="Times New Roman" w:eastAsia="Times New Roman" w:hAnsi="Times New Roman" w:cs="Times New Roman"/>
          <w:i/>
          <w:sz w:val="20"/>
          <w:lang w:val="en-GB" w:eastAsia="pl-PL"/>
        </w:rPr>
        <w:t>Post-crisis fiscal policy</w:t>
      </w:r>
      <w:r w:rsidRPr="009857BD">
        <w:rPr>
          <w:rFonts w:ascii="Times New Roman" w:eastAsia="Times New Roman" w:hAnsi="Times New Roman" w:cs="Times New Roman"/>
          <w:sz w:val="20"/>
          <w:lang w:val="en-GB" w:eastAsia="pl-PL"/>
        </w:rPr>
        <w:t xml:space="preserve">, red. </w:t>
      </w:r>
      <w:proofErr w:type="spellStart"/>
      <w:r w:rsidRPr="009857BD">
        <w:rPr>
          <w:rFonts w:ascii="Times New Roman" w:eastAsia="Times New Roman" w:hAnsi="Times New Roman" w:cs="Times New Roman"/>
          <w:sz w:val="20"/>
          <w:lang w:val="en-GB" w:eastAsia="pl-PL"/>
        </w:rPr>
        <w:t>C.Cottarelli</w:t>
      </w:r>
      <w:proofErr w:type="spellEnd"/>
      <w:r w:rsidRPr="009857BD">
        <w:rPr>
          <w:rFonts w:ascii="Times New Roman" w:eastAsia="Times New Roman" w:hAnsi="Times New Roman" w:cs="Times New Roman"/>
          <w:sz w:val="20"/>
          <w:lang w:val="en-GB" w:eastAsia="pl-PL"/>
        </w:rPr>
        <w:t xml:space="preserve">, </w:t>
      </w:r>
      <w:proofErr w:type="spellStart"/>
      <w:r w:rsidRPr="009857BD">
        <w:rPr>
          <w:rFonts w:ascii="Times New Roman" w:eastAsia="Times New Roman" w:hAnsi="Times New Roman" w:cs="Times New Roman"/>
          <w:sz w:val="20"/>
          <w:lang w:val="en-GB" w:eastAsia="pl-PL"/>
        </w:rPr>
        <w:t>P.Ger</w:t>
      </w:r>
      <w:r>
        <w:rPr>
          <w:rFonts w:ascii="Times New Roman" w:eastAsia="Times New Roman" w:hAnsi="Times New Roman" w:cs="Times New Roman"/>
          <w:sz w:val="20"/>
          <w:lang w:val="en-GB" w:eastAsia="pl-PL"/>
        </w:rPr>
        <w:t>son</w:t>
      </w:r>
      <w:proofErr w:type="spellEnd"/>
      <w:r>
        <w:rPr>
          <w:rFonts w:ascii="Times New Roman" w:eastAsia="Times New Roman" w:hAnsi="Times New Roman" w:cs="Times New Roman"/>
          <w:sz w:val="20"/>
          <w:lang w:val="en-GB" w:eastAsia="pl-PL"/>
        </w:rPr>
        <w:t xml:space="preserve"> i </w:t>
      </w:r>
      <w:proofErr w:type="spellStart"/>
      <w:r>
        <w:rPr>
          <w:rFonts w:ascii="Times New Roman" w:eastAsia="Times New Roman" w:hAnsi="Times New Roman" w:cs="Times New Roman"/>
          <w:sz w:val="20"/>
          <w:lang w:val="en-GB" w:eastAsia="pl-PL"/>
        </w:rPr>
        <w:t>A.Senhadji</w:t>
      </w:r>
      <w:proofErr w:type="spellEnd"/>
      <w:r>
        <w:rPr>
          <w:rFonts w:ascii="Times New Roman" w:eastAsia="Times New Roman" w:hAnsi="Times New Roman" w:cs="Times New Roman"/>
          <w:sz w:val="20"/>
          <w:lang w:val="en-GB" w:eastAsia="pl-PL"/>
        </w:rPr>
        <w:t>, The MIT Press</w:t>
      </w:r>
    </w:p>
    <w:p w:rsidR="00806964" w:rsidRDefault="00806964" w:rsidP="00806964">
      <w:pPr>
        <w:pStyle w:val="Listapunktowana"/>
        <w:numPr>
          <w:ilvl w:val="0"/>
          <w:numId w:val="0"/>
        </w:numPr>
        <w:spacing w:after="60"/>
        <w:ind w:left="360" w:hanging="360"/>
        <w:rPr>
          <w:rFonts w:ascii="Times New Roman" w:eastAsia="Times New Roman" w:hAnsi="Times New Roman" w:cs="Times New Roman"/>
          <w:sz w:val="20"/>
          <w:lang w:val="en-GB" w:eastAsia="pl-PL"/>
        </w:rPr>
      </w:pPr>
      <w:r w:rsidRPr="009857BD">
        <w:rPr>
          <w:rFonts w:ascii="Times New Roman" w:eastAsia="Times New Roman" w:hAnsi="Times New Roman" w:cs="Times New Roman"/>
          <w:sz w:val="20"/>
          <w:lang w:val="en-GB" w:eastAsia="pl-PL"/>
        </w:rPr>
        <w:t xml:space="preserve">Ramey V.A. [2011], </w:t>
      </w:r>
      <w:r w:rsidRPr="009857BD">
        <w:rPr>
          <w:rFonts w:ascii="Times New Roman" w:eastAsia="Times New Roman" w:hAnsi="Times New Roman" w:cs="Times New Roman"/>
          <w:i/>
          <w:sz w:val="20"/>
          <w:lang w:val="en-GB" w:eastAsia="pl-PL"/>
        </w:rPr>
        <w:t>Can Government Purchases Stimulate the Economy</w:t>
      </w:r>
      <w:r w:rsidRPr="009857BD">
        <w:rPr>
          <w:rFonts w:ascii="Times New Roman" w:eastAsia="Times New Roman" w:hAnsi="Times New Roman" w:cs="Times New Roman"/>
          <w:sz w:val="20"/>
          <w:lang w:val="en-GB" w:eastAsia="pl-PL"/>
        </w:rPr>
        <w:t xml:space="preserve">, “Journal </w:t>
      </w:r>
      <w:r w:rsidR="003A2722">
        <w:rPr>
          <w:rFonts w:ascii="Times New Roman" w:eastAsia="Times New Roman" w:hAnsi="Times New Roman" w:cs="Times New Roman"/>
          <w:sz w:val="20"/>
          <w:lang w:val="en-GB" w:eastAsia="pl-PL"/>
        </w:rPr>
        <w:t>of Economic Literature”, 49(3)</w:t>
      </w:r>
    </w:p>
    <w:p w:rsidR="00806964" w:rsidRPr="009857BD" w:rsidRDefault="00806964" w:rsidP="00806964">
      <w:pPr>
        <w:pStyle w:val="Listapunktowana"/>
        <w:numPr>
          <w:ilvl w:val="0"/>
          <w:numId w:val="0"/>
        </w:numPr>
        <w:spacing w:after="60"/>
        <w:ind w:left="360" w:hanging="360"/>
        <w:rPr>
          <w:rFonts w:ascii="Times New Roman" w:hAnsi="Times New Roman" w:cs="Times New Roman"/>
          <w:sz w:val="20"/>
          <w:lang w:val="en-GB" w:eastAsia="pl-PL"/>
        </w:rPr>
      </w:pPr>
      <w:proofErr w:type="spellStart"/>
      <w:r>
        <w:rPr>
          <w:rFonts w:ascii="Times New Roman" w:eastAsia="Times New Roman" w:hAnsi="Times New Roman" w:cs="Times New Roman"/>
          <w:sz w:val="20"/>
          <w:lang w:val="en-GB" w:eastAsia="pl-PL"/>
        </w:rPr>
        <w:t>Szarowska</w:t>
      </w:r>
      <w:proofErr w:type="spellEnd"/>
      <w:r>
        <w:rPr>
          <w:rFonts w:ascii="Times New Roman" w:eastAsia="Times New Roman" w:hAnsi="Times New Roman" w:cs="Times New Roman"/>
          <w:sz w:val="20"/>
          <w:lang w:val="en-GB" w:eastAsia="pl-PL"/>
        </w:rPr>
        <w:t xml:space="preserve"> I. [2014], </w:t>
      </w:r>
      <w:r w:rsidRPr="00806964">
        <w:rPr>
          <w:rFonts w:ascii="Times New Roman" w:eastAsia="Times New Roman" w:hAnsi="Times New Roman" w:cs="Times New Roman"/>
          <w:i/>
          <w:sz w:val="20"/>
          <w:lang w:val="en-GB" w:eastAsia="pl-PL"/>
        </w:rPr>
        <w:t xml:space="preserve">Long-term and Short-term </w:t>
      </w:r>
      <w:proofErr w:type="spellStart"/>
      <w:r w:rsidRPr="00806964">
        <w:rPr>
          <w:rFonts w:ascii="Times New Roman" w:eastAsia="Times New Roman" w:hAnsi="Times New Roman" w:cs="Times New Roman"/>
          <w:i/>
          <w:sz w:val="20"/>
          <w:lang w:val="en-GB" w:eastAsia="pl-PL"/>
        </w:rPr>
        <w:t>Relationssip</w:t>
      </w:r>
      <w:proofErr w:type="spellEnd"/>
      <w:r w:rsidRPr="00806964">
        <w:rPr>
          <w:rFonts w:ascii="Times New Roman" w:eastAsia="Times New Roman" w:hAnsi="Times New Roman" w:cs="Times New Roman"/>
          <w:i/>
          <w:sz w:val="20"/>
          <w:lang w:val="en-GB" w:eastAsia="pl-PL"/>
        </w:rPr>
        <w:t xml:space="preserve"> between Government Expenditure and GDP in the EU15: </w:t>
      </w:r>
      <w:proofErr w:type="spellStart"/>
      <w:r w:rsidRPr="00806964">
        <w:rPr>
          <w:rFonts w:ascii="Times New Roman" w:eastAsia="Times New Roman" w:hAnsi="Times New Roman" w:cs="Times New Roman"/>
          <w:i/>
          <w:sz w:val="20"/>
          <w:lang w:val="en-GB" w:eastAsia="pl-PL"/>
        </w:rPr>
        <w:t>Cointegration</w:t>
      </w:r>
      <w:proofErr w:type="spellEnd"/>
      <w:r w:rsidRPr="00806964">
        <w:rPr>
          <w:rFonts w:ascii="Times New Roman" w:eastAsia="Times New Roman" w:hAnsi="Times New Roman" w:cs="Times New Roman"/>
          <w:i/>
          <w:sz w:val="20"/>
          <w:lang w:val="en-GB" w:eastAsia="pl-PL"/>
        </w:rPr>
        <w:t xml:space="preserve"> Approach</w:t>
      </w:r>
      <w:r>
        <w:rPr>
          <w:rFonts w:ascii="Times New Roman" w:eastAsia="Times New Roman" w:hAnsi="Times New Roman" w:cs="Times New Roman"/>
          <w:sz w:val="20"/>
          <w:lang w:val="en-GB" w:eastAsia="pl-PL"/>
        </w:rPr>
        <w:t>, “</w:t>
      </w:r>
      <w:proofErr w:type="spellStart"/>
      <w:r>
        <w:rPr>
          <w:rFonts w:ascii="Times New Roman" w:eastAsia="Times New Roman" w:hAnsi="Times New Roman" w:cs="Times New Roman"/>
          <w:sz w:val="20"/>
          <w:lang w:val="en-GB" w:eastAsia="pl-PL"/>
        </w:rPr>
        <w:t>Ekonomista</w:t>
      </w:r>
      <w:proofErr w:type="spellEnd"/>
      <w:r>
        <w:rPr>
          <w:rFonts w:ascii="Times New Roman" w:eastAsia="Times New Roman" w:hAnsi="Times New Roman" w:cs="Times New Roman"/>
          <w:sz w:val="20"/>
          <w:lang w:val="en-GB" w:eastAsia="pl-PL"/>
        </w:rPr>
        <w:t xml:space="preserve">”, </w:t>
      </w:r>
      <w:proofErr w:type="spellStart"/>
      <w:r>
        <w:rPr>
          <w:rFonts w:ascii="Times New Roman" w:eastAsia="Times New Roman" w:hAnsi="Times New Roman" w:cs="Times New Roman"/>
          <w:sz w:val="20"/>
          <w:lang w:val="en-GB" w:eastAsia="pl-PL"/>
        </w:rPr>
        <w:t>nr</w:t>
      </w:r>
      <w:proofErr w:type="spellEnd"/>
      <w:r>
        <w:rPr>
          <w:rFonts w:ascii="Times New Roman" w:eastAsia="Times New Roman" w:hAnsi="Times New Roman" w:cs="Times New Roman"/>
          <w:sz w:val="20"/>
          <w:lang w:val="en-GB" w:eastAsia="pl-PL"/>
        </w:rPr>
        <w:t xml:space="preserve"> 6</w:t>
      </w:r>
    </w:p>
    <w:p w:rsidR="005176BF" w:rsidRPr="00806964" w:rsidRDefault="005176BF" w:rsidP="005B0CBD">
      <w:pPr>
        <w:spacing w:after="0"/>
        <w:rPr>
          <w:rFonts w:ascii="Times New Roman" w:hAnsi="Times New Roman" w:cs="Times New Roman"/>
          <w:sz w:val="24"/>
          <w:szCs w:val="24"/>
          <w:lang w:val="en-GB"/>
        </w:rPr>
      </w:pPr>
    </w:p>
    <w:sectPr w:rsidR="005176BF" w:rsidRPr="00806964" w:rsidSect="00A77527">
      <w:footerReference w:type="default" r:id="rId14"/>
      <w:pgSz w:w="12240" w:h="15840"/>
      <w:pgMar w:top="1418" w:right="1985"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764" w:rsidRDefault="00B17764" w:rsidP="00A01EBA">
      <w:pPr>
        <w:spacing w:after="0" w:line="240" w:lineRule="auto"/>
      </w:pPr>
      <w:r>
        <w:separator/>
      </w:r>
    </w:p>
  </w:endnote>
  <w:endnote w:type="continuationSeparator" w:id="0">
    <w:p w:rsidR="00B17764" w:rsidRDefault="00B17764" w:rsidP="00A01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378901"/>
      <w:docPartObj>
        <w:docPartGallery w:val="Page Numbers (Bottom of Page)"/>
        <w:docPartUnique/>
      </w:docPartObj>
    </w:sdtPr>
    <w:sdtContent>
      <w:p w:rsidR="007B488D" w:rsidRDefault="007B488D">
        <w:pPr>
          <w:pStyle w:val="Stopka"/>
          <w:jc w:val="center"/>
        </w:pPr>
        <w:r>
          <w:fldChar w:fldCharType="begin"/>
        </w:r>
        <w:r>
          <w:instrText>PAGE   \* MERGEFORMAT</w:instrText>
        </w:r>
        <w:r>
          <w:fldChar w:fldCharType="separate"/>
        </w:r>
        <w:r w:rsidR="00650847" w:rsidRPr="00650847">
          <w:rPr>
            <w:noProof/>
            <w:lang w:val="pl-PL"/>
          </w:rPr>
          <w:t>1</w:t>
        </w:r>
        <w:r>
          <w:fldChar w:fldCharType="end"/>
        </w:r>
      </w:p>
    </w:sdtContent>
  </w:sdt>
  <w:p w:rsidR="007B488D" w:rsidRDefault="007B488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764" w:rsidRDefault="00B17764" w:rsidP="00A01EBA">
      <w:pPr>
        <w:spacing w:after="0" w:line="240" w:lineRule="auto"/>
      </w:pPr>
      <w:r>
        <w:separator/>
      </w:r>
    </w:p>
  </w:footnote>
  <w:footnote w:type="continuationSeparator" w:id="0">
    <w:p w:rsidR="00B17764" w:rsidRDefault="00B17764" w:rsidP="00A01E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2D47E9C"/>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3B27CDC"/>
    <w:multiLevelType w:val="hybridMultilevel"/>
    <w:tmpl w:val="53A68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524DA"/>
    <w:multiLevelType w:val="hybridMultilevel"/>
    <w:tmpl w:val="500EA5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306B8A"/>
    <w:multiLevelType w:val="hybridMultilevel"/>
    <w:tmpl w:val="6B842C9E"/>
    <w:lvl w:ilvl="0" w:tplc="D854B15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D04AF7"/>
    <w:multiLevelType w:val="hybridMultilevel"/>
    <w:tmpl w:val="2BBAC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A356AC"/>
    <w:multiLevelType w:val="hybridMultilevel"/>
    <w:tmpl w:val="4D448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7B1EE5"/>
    <w:multiLevelType w:val="hybridMultilevel"/>
    <w:tmpl w:val="F18C0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A853BA"/>
    <w:multiLevelType w:val="hybridMultilevel"/>
    <w:tmpl w:val="4C18A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2"/>
  </w:num>
  <w:num w:numId="5">
    <w:abstractNumId w:val="1"/>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97B"/>
    <w:rsid w:val="0002497B"/>
    <w:rsid w:val="00031BB2"/>
    <w:rsid w:val="00034211"/>
    <w:rsid w:val="000360F3"/>
    <w:rsid w:val="0006644A"/>
    <w:rsid w:val="00076372"/>
    <w:rsid w:val="00077377"/>
    <w:rsid w:val="00095CCE"/>
    <w:rsid w:val="000A6243"/>
    <w:rsid w:val="000C482A"/>
    <w:rsid w:val="000E250E"/>
    <w:rsid w:val="000F1F7A"/>
    <w:rsid w:val="000F6E94"/>
    <w:rsid w:val="00116B40"/>
    <w:rsid w:val="001312A3"/>
    <w:rsid w:val="00133F53"/>
    <w:rsid w:val="00135A41"/>
    <w:rsid w:val="001541CE"/>
    <w:rsid w:val="001556B7"/>
    <w:rsid w:val="0016483B"/>
    <w:rsid w:val="00182637"/>
    <w:rsid w:val="00187F0F"/>
    <w:rsid w:val="00191650"/>
    <w:rsid w:val="001948A5"/>
    <w:rsid w:val="001A5755"/>
    <w:rsid w:val="001A717E"/>
    <w:rsid w:val="001C23CE"/>
    <w:rsid w:val="001D2B0C"/>
    <w:rsid w:val="001D5CF1"/>
    <w:rsid w:val="001D5D3F"/>
    <w:rsid w:val="001F2A45"/>
    <w:rsid w:val="001F50C0"/>
    <w:rsid w:val="00220FC6"/>
    <w:rsid w:val="002317F6"/>
    <w:rsid w:val="002319C8"/>
    <w:rsid w:val="002543C9"/>
    <w:rsid w:val="002559A7"/>
    <w:rsid w:val="0027792C"/>
    <w:rsid w:val="0028781D"/>
    <w:rsid w:val="00295416"/>
    <w:rsid w:val="00295604"/>
    <w:rsid w:val="002976A1"/>
    <w:rsid w:val="002C1118"/>
    <w:rsid w:val="002C21D4"/>
    <w:rsid w:val="002C48DA"/>
    <w:rsid w:val="002E0613"/>
    <w:rsid w:val="002E3C1C"/>
    <w:rsid w:val="002E72F5"/>
    <w:rsid w:val="002E7935"/>
    <w:rsid w:val="00303E06"/>
    <w:rsid w:val="00310BB8"/>
    <w:rsid w:val="00311E51"/>
    <w:rsid w:val="003177F4"/>
    <w:rsid w:val="0034592F"/>
    <w:rsid w:val="00352D7F"/>
    <w:rsid w:val="0036268B"/>
    <w:rsid w:val="003845A4"/>
    <w:rsid w:val="00385EE9"/>
    <w:rsid w:val="003941CD"/>
    <w:rsid w:val="00396BBD"/>
    <w:rsid w:val="003A2722"/>
    <w:rsid w:val="003A33A0"/>
    <w:rsid w:val="003B3DD0"/>
    <w:rsid w:val="003C17A1"/>
    <w:rsid w:val="003C4A61"/>
    <w:rsid w:val="003D2CD1"/>
    <w:rsid w:val="003D5133"/>
    <w:rsid w:val="003D785C"/>
    <w:rsid w:val="003F3C72"/>
    <w:rsid w:val="0041585A"/>
    <w:rsid w:val="0041790E"/>
    <w:rsid w:val="00420F1C"/>
    <w:rsid w:val="00421061"/>
    <w:rsid w:val="004257F8"/>
    <w:rsid w:val="004264A6"/>
    <w:rsid w:val="00426979"/>
    <w:rsid w:val="004325D3"/>
    <w:rsid w:val="004333F1"/>
    <w:rsid w:val="00443DBC"/>
    <w:rsid w:val="004447AC"/>
    <w:rsid w:val="00472977"/>
    <w:rsid w:val="00473E46"/>
    <w:rsid w:val="0048331D"/>
    <w:rsid w:val="004945C7"/>
    <w:rsid w:val="00496D90"/>
    <w:rsid w:val="004A7D00"/>
    <w:rsid w:val="004B01FC"/>
    <w:rsid w:val="004B178D"/>
    <w:rsid w:val="004D5D16"/>
    <w:rsid w:val="004E5895"/>
    <w:rsid w:val="004F23FF"/>
    <w:rsid w:val="00504B83"/>
    <w:rsid w:val="00511154"/>
    <w:rsid w:val="00513010"/>
    <w:rsid w:val="005156E5"/>
    <w:rsid w:val="005176BF"/>
    <w:rsid w:val="005266DB"/>
    <w:rsid w:val="00534EDB"/>
    <w:rsid w:val="00545C21"/>
    <w:rsid w:val="005527B3"/>
    <w:rsid w:val="005554A2"/>
    <w:rsid w:val="005635CE"/>
    <w:rsid w:val="005649BB"/>
    <w:rsid w:val="00566CA6"/>
    <w:rsid w:val="005869E8"/>
    <w:rsid w:val="005B0CBD"/>
    <w:rsid w:val="005B681C"/>
    <w:rsid w:val="005B776C"/>
    <w:rsid w:val="005D2B1C"/>
    <w:rsid w:val="005D55BF"/>
    <w:rsid w:val="005E1C70"/>
    <w:rsid w:val="005E7E6F"/>
    <w:rsid w:val="006023A0"/>
    <w:rsid w:val="00605F3A"/>
    <w:rsid w:val="0062248B"/>
    <w:rsid w:val="00640147"/>
    <w:rsid w:val="00645119"/>
    <w:rsid w:val="00650847"/>
    <w:rsid w:val="00650EFB"/>
    <w:rsid w:val="006510F4"/>
    <w:rsid w:val="006544C6"/>
    <w:rsid w:val="00656619"/>
    <w:rsid w:val="00662680"/>
    <w:rsid w:val="00664351"/>
    <w:rsid w:val="006652DE"/>
    <w:rsid w:val="00670038"/>
    <w:rsid w:val="00674034"/>
    <w:rsid w:val="006843B8"/>
    <w:rsid w:val="00690187"/>
    <w:rsid w:val="006920B8"/>
    <w:rsid w:val="006C3462"/>
    <w:rsid w:val="006D5EB8"/>
    <w:rsid w:val="006F5DD1"/>
    <w:rsid w:val="0070657C"/>
    <w:rsid w:val="007133A6"/>
    <w:rsid w:val="0071582C"/>
    <w:rsid w:val="007252F3"/>
    <w:rsid w:val="007472A2"/>
    <w:rsid w:val="00757207"/>
    <w:rsid w:val="007807C9"/>
    <w:rsid w:val="00791B0E"/>
    <w:rsid w:val="007962A2"/>
    <w:rsid w:val="0079709A"/>
    <w:rsid w:val="007A35C9"/>
    <w:rsid w:val="007B07B4"/>
    <w:rsid w:val="007B488D"/>
    <w:rsid w:val="007B5AE2"/>
    <w:rsid w:val="007C71CB"/>
    <w:rsid w:val="007D5F45"/>
    <w:rsid w:val="007E0DA6"/>
    <w:rsid w:val="007F605E"/>
    <w:rsid w:val="00806964"/>
    <w:rsid w:val="00811C4E"/>
    <w:rsid w:val="00811C50"/>
    <w:rsid w:val="00820759"/>
    <w:rsid w:val="0083306F"/>
    <w:rsid w:val="008402C1"/>
    <w:rsid w:val="008453A1"/>
    <w:rsid w:val="008460FC"/>
    <w:rsid w:val="00847C9E"/>
    <w:rsid w:val="00852A4C"/>
    <w:rsid w:val="00854211"/>
    <w:rsid w:val="00862FF8"/>
    <w:rsid w:val="008654D6"/>
    <w:rsid w:val="008667A8"/>
    <w:rsid w:val="0087236A"/>
    <w:rsid w:val="0088256D"/>
    <w:rsid w:val="008944B1"/>
    <w:rsid w:val="00894D60"/>
    <w:rsid w:val="008A1BF4"/>
    <w:rsid w:val="008B19AD"/>
    <w:rsid w:val="008C0745"/>
    <w:rsid w:val="008C56F9"/>
    <w:rsid w:val="008D6E9C"/>
    <w:rsid w:val="008E479E"/>
    <w:rsid w:val="008F6595"/>
    <w:rsid w:val="00943088"/>
    <w:rsid w:val="00950A6A"/>
    <w:rsid w:val="009551FE"/>
    <w:rsid w:val="009606CB"/>
    <w:rsid w:val="00961E1E"/>
    <w:rsid w:val="00961FC5"/>
    <w:rsid w:val="00963390"/>
    <w:rsid w:val="009830A4"/>
    <w:rsid w:val="009B3B87"/>
    <w:rsid w:val="009E61B6"/>
    <w:rsid w:val="009E6899"/>
    <w:rsid w:val="009F0D6E"/>
    <w:rsid w:val="009F71E7"/>
    <w:rsid w:val="00A0096E"/>
    <w:rsid w:val="00A01EBA"/>
    <w:rsid w:val="00A23EDF"/>
    <w:rsid w:val="00A25FAF"/>
    <w:rsid w:val="00A315B9"/>
    <w:rsid w:val="00A3361F"/>
    <w:rsid w:val="00A42ECB"/>
    <w:rsid w:val="00A658A2"/>
    <w:rsid w:val="00A736DA"/>
    <w:rsid w:val="00A77527"/>
    <w:rsid w:val="00A91FF4"/>
    <w:rsid w:val="00A94F7A"/>
    <w:rsid w:val="00AA625E"/>
    <w:rsid w:val="00AB4A1A"/>
    <w:rsid w:val="00AC25C7"/>
    <w:rsid w:val="00AD01DC"/>
    <w:rsid w:val="00AF0A0E"/>
    <w:rsid w:val="00B10D09"/>
    <w:rsid w:val="00B16614"/>
    <w:rsid w:val="00B17764"/>
    <w:rsid w:val="00B23AB9"/>
    <w:rsid w:val="00B23C6D"/>
    <w:rsid w:val="00B32B0A"/>
    <w:rsid w:val="00B346AC"/>
    <w:rsid w:val="00B37BC4"/>
    <w:rsid w:val="00B44860"/>
    <w:rsid w:val="00B4516C"/>
    <w:rsid w:val="00B452C1"/>
    <w:rsid w:val="00B46FD8"/>
    <w:rsid w:val="00B62E7E"/>
    <w:rsid w:val="00B6395B"/>
    <w:rsid w:val="00B878BF"/>
    <w:rsid w:val="00BB711C"/>
    <w:rsid w:val="00BC2A6A"/>
    <w:rsid w:val="00BD104A"/>
    <w:rsid w:val="00BD2672"/>
    <w:rsid w:val="00BE2CB8"/>
    <w:rsid w:val="00BE33C2"/>
    <w:rsid w:val="00BF10B0"/>
    <w:rsid w:val="00BF1906"/>
    <w:rsid w:val="00C13966"/>
    <w:rsid w:val="00C14554"/>
    <w:rsid w:val="00C178D0"/>
    <w:rsid w:val="00C2083E"/>
    <w:rsid w:val="00C233E7"/>
    <w:rsid w:val="00C26615"/>
    <w:rsid w:val="00C36A15"/>
    <w:rsid w:val="00C36C35"/>
    <w:rsid w:val="00C62D69"/>
    <w:rsid w:val="00C8066B"/>
    <w:rsid w:val="00C83F12"/>
    <w:rsid w:val="00CA3D5E"/>
    <w:rsid w:val="00CB38E1"/>
    <w:rsid w:val="00CD17A5"/>
    <w:rsid w:val="00CD5646"/>
    <w:rsid w:val="00CE3C2C"/>
    <w:rsid w:val="00CE70DD"/>
    <w:rsid w:val="00CE7E75"/>
    <w:rsid w:val="00CF5096"/>
    <w:rsid w:val="00CF62CF"/>
    <w:rsid w:val="00CF6F50"/>
    <w:rsid w:val="00CF7ADB"/>
    <w:rsid w:val="00D146D7"/>
    <w:rsid w:val="00D30F85"/>
    <w:rsid w:val="00D34453"/>
    <w:rsid w:val="00D40D98"/>
    <w:rsid w:val="00D55C7C"/>
    <w:rsid w:val="00D572F5"/>
    <w:rsid w:val="00D61DC2"/>
    <w:rsid w:val="00D83E89"/>
    <w:rsid w:val="00D85CC8"/>
    <w:rsid w:val="00D86971"/>
    <w:rsid w:val="00D872C9"/>
    <w:rsid w:val="00D91A97"/>
    <w:rsid w:val="00D92EED"/>
    <w:rsid w:val="00DB3288"/>
    <w:rsid w:val="00DC5AE4"/>
    <w:rsid w:val="00DD1332"/>
    <w:rsid w:val="00DF6A33"/>
    <w:rsid w:val="00DF78AA"/>
    <w:rsid w:val="00E04173"/>
    <w:rsid w:val="00E14387"/>
    <w:rsid w:val="00E150AB"/>
    <w:rsid w:val="00E45F5C"/>
    <w:rsid w:val="00E52D6F"/>
    <w:rsid w:val="00E67D67"/>
    <w:rsid w:val="00E806F9"/>
    <w:rsid w:val="00E90B1A"/>
    <w:rsid w:val="00E9680F"/>
    <w:rsid w:val="00EA10C2"/>
    <w:rsid w:val="00EB1456"/>
    <w:rsid w:val="00EC4E25"/>
    <w:rsid w:val="00EC607C"/>
    <w:rsid w:val="00EE5D4B"/>
    <w:rsid w:val="00EF276B"/>
    <w:rsid w:val="00F02126"/>
    <w:rsid w:val="00F06F11"/>
    <w:rsid w:val="00F079BD"/>
    <w:rsid w:val="00F11DF2"/>
    <w:rsid w:val="00F26105"/>
    <w:rsid w:val="00F276A5"/>
    <w:rsid w:val="00F43D6C"/>
    <w:rsid w:val="00F503DB"/>
    <w:rsid w:val="00F514BD"/>
    <w:rsid w:val="00F56BCF"/>
    <w:rsid w:val="00F56E19"/>
    <w:rsid w:val="00F57A25"/>
    <w:rsid w:val="00F6398B"/>
    <w:rsid w:val="00F65613"/>
    <w:rsid w:val="00F70D9E"/>
    <w:rsid w:val="00F753DD"/>
    <w:rsid w:val="00F82451"/>
    <w:rsid w:val="00F8441E"/>
    <w:rsid w:val="00FB2F75"/>
    <w:rsid w:val="00FC27F7"/>
    <w:rsid w:val="00FD3730"/>
    <w:rsid w:val="00FD5F37"/>
    <w:rsid w:val="00FD7DB2"/>
    <w:rsid w:val="00FE3865"/>
    <w:rsid w:val="00FE7963"/>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2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F50C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50C0"/>
    <w:rPr>
      <w:rFonts w:ascii="Tahoma" w:hAnsi="Tahoma" w:cs="Tahoma"/>
      <w:sz w:val="16"/>
      <w:szCs w:val="16"/>
    </w:rPr>
  </w:style>
  <w:style w:type="paragraph" w:styleId="Tekstprzypisudolnego">
    <w:name w:val="footnote text"/>
    <w:basedOn w:val="Normalny"/>
    <w:link w:val="TekstprzypisudolnegoZnak"/>
    <w:uiPriority w:val="99"/>
    <w:semiHidden/>
    <w:unhideWhenUsed/>
    <w:rsid w:val="00A01EB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01EBA"/>
    <w:rPr>
      <w:sz w:val="20"/>
      <w:szCs w:val="20"/>
    </w:rPr>
  </w:style>
  <w:style w:type="character" w:styleId="Odwoanieprzypisudolnego">
    <w:name w:val="footnote reference"/>
    <w:basedOn w:val="Domylnaczcionkaakapitu"/>
    <w:uiPriority w:val="99"/>
    <w:semiHidden/>
    <w:unhideWhenUsed/>
    <w:rsid w:val="00A01EBA"/>
    <w:rPr>
      <w:vertAlign w:val="superscript"/>
    </w:rPr>
  </w:style>
  <w:style w:type="paragraph" w:styleId="Akapitzlist">
    <w:name w:val="List Paragraph"/>
    <w:basedOn w:val="Normalny"/>
    <w:uiPriority w:val="34"/>
    <w:qFormat/>
    <w:rsid w:val="002543C9"/>
    <w:pPr>
      <w:ind w:left="720"/>
      <w:contextualSpacing/>
    </w:pPr>
  </w:style>
  <w:style w:type="paragraph" w:styleId="Tekstprzypisukocowego">
    <w:name w:val="endnote text"/>
    <w:basedOn w:val="Normalny"/>
    <w:link w:val="TekstprzypisukocowegoZnak"/>
    <w:uiPriority w:val="99"/>
    <w:semiHidden/>
    <w:unhideWhenUsed/>
    <w:rsid w:val="00D872C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872C9"/>
    <w:rPr>
      <w:sz w:val="20"/>
      <w:szCs w:val="20"/>
    </w:rPr>
  </w:style>
  <w:style w:type="character" w:styleId="Odwoanieprzypisukocowego">
    <w:name w:val="endnote reference"/>
    <w:basedOn w:val="Domylnaczcionkaakapitu"/>
    <w:uiPriority w:val="99"/>
    <w:semiHidden/>
    <w:unhideWhenUsed/>
    <w:rsid w:val="00D872C9"/>
    <w:rPr>
      <w:vertAlign w:val="superscript"/>
    </w:rPr>
  </w:style>
  <w:style w:type="paragraph" w:styleId="Nagwek">
    <w:name w:val="header"/>
    <w:basedOn w:val="Normalny"/>
    <w:link w:val="NagwekZnak"/>
    <w:uiPriority w:val="99"/>
    <w:unhideWhenUsed/>
    <w:rsid w:val="00656619"/>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656619"/>
  </w:style>
  <w:style w:type="paragraph" w:styleId="Stopka">
    <w:name w:val="footer"/>
    <w:basedOn w:val="Normalny"/>
    <w:link w:val="StopkaZnak"/>
    <w:uiPriority w:val="99"/>
    <w:unhideWhenUsed/>
    <w:rsid w:val="00656619"/>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656619"/>
  </w:style>
  <w:style w:type="character" w:styleId="Tekstzastpczy">
    <w:name w:val="Placeholder Text"/>
    <w:basedOn w:val="Domylnaczcionkaakapitu"/>
    <w:uiPriority w:val="99"/>
    <w:semiHidden/>
    <w:rsid w:val="00B10D09"/>
    <w:rPr>
      <w:color w:val="808080"/>
    </w:rPr>
  </w:style>
  <w:style w:type="paragraph" w:styleId="Listapunktowana">
    <w:name w:val="List Bullet"/>
    <w:basedOn w:val="Normalny"/>
    <w:uiPriority w:val="99"/>
    <w:unhideWhenUsed/>
    <w:rsid w:val="00806964"/>
    <w:pPr>
      <w:numPr>
        <w:numId w:val="6"/>
      </w:numPr>
      <w:contextualSpacing/>
    </w:pPr>
    <w:rPr>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2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F50C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50C0"/>
    <w:rPr>
      <w:rFonts w:ascii="Tahoma" w:hAnsi="Tahoma" w:cs="Tahoma"/>
      <w:sz w:val="16"/>
      <w:szCs w:val="16"/>
    </w:rPr>
  </w:style>
  <w:style w:type="paragraph" w:styleId="Tekstprzypisudolnego">
    <w:name w:val="footnote text"/>
    <w:basedOn w:val="Normalny"/>
    <w:link w:val="TekstprzypisudolnegoZnak"/>
    <w:uiPriority w:val="99"/>
    <w:semiHidden/>
    <w:unhideWhenUsed/>
    <w:rsid w:val="00A01EB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01EBA"/>
    <w:rPr>
      <w:sz w:val="20"/>
      <w:szCs w:val="20"/>
    </w:rPr>
  </w:style>
  <w:style w:type="character" w:styleId="Odwoanieprzypisudolnego">
    <w:name w:val="footnote reference"/>
    <w:basedOn w:val="Domylnaczcionkaakapitu"/>
    <w:uiPriority w:val="99"/>
    <w:semiHidden/>
    <w:unhideWhenUsed/>
    <w:rsid w:val="00A01EBA"/>
    <w:rPr>
      <w:vertAlign w:val="superscript"/>
    </w:rPr>
  </w:style>
  <w:style w:type="paragraph" w:styleId="Akapitzlist">
    <w:name w:val="List Paragraph"/>
    <w:basedOn w:val="Normalny"/>
    <w:uiPriority w:val="34"/>
    <w:qFormat/>
    <w:rsid w:val="002543C9"/>
    <w:pPr>
      <w:ind w:left="720"/>
      <w:contextualSpacing/>
    </w:pPr>
  </w:style>
  <w:style w:type="paragraph" w:styleId="Tekstprzypisukocowego">
    <w:name w:val="endnote text"/>
    <w:basedOn w:val="Normalny"/>
    <w:link w:val="TekstprzypisukocowegoZnak"/>
    <w:uiPriority w:val="99"/>
    <w:semiHidden/>
    <w:unhideWhenUsed/>
    <w:rsid w:val="00D872C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872C9"/>
    <w:rPr>
      <w:sz w:val="20"/>
      <w:szCs w:val="20"/>
    </w:rPr>
  </w:style>
  <w:style w:type="character" w:styleId="Odwoanieprzypisukocowego">
    <w:name w:val="endnote reference"/>
    <w:basedOn w:val="Domylnaczcionkaakapitu"/>
    <w:uiPriority w:val="99"/>
    <w:semiHidden/>
    <w:unhideWhenUsed/>
    <w:rsid w:val="00D872C9"/>
    <w:rPr>
      <w:vertAlign w:val="superscript"/>
    </w:rPr>
  </w:style>
  <w:style w:type="paragraph" w:styleId="Nagwek">
    <w:name w:val="header"/>
    <w:basedOn w:val="Normalny"/>
    <w:link w:val="NagwekZnak"/>
    <w:uiPriority w:val="99"/>
    <w:unhideWhenUsed/>
    <w:rsid w:val="00656619"/>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656619"/>
  </w:style>
  <w:style w:type="paragraph" w:styleId="Stopka">
    <w:name w:val="footer"/>
    <w:basedOn w:val="Normalny"/>
    <w:link w:val="StopkaZnak"/>
    <w:uiPriority w:val="99"/>
    <w:unhideWhenUsed/>
    <w:rsid w:val="00656619"/>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656619"/>
  </w:style>
  <w:style w:type="character" w:styleId="Tekstzastpczy">
    <w:name w:val="Placeholder Text"/>
    <w:basedOn w:val="Domylnaczcionkaakapitu"/>
    <w:uiPriority w:val="99"/>
    <w:semiHidden/>
    <w:rsid w:val="00B10D09"/>
    <w:rPr>
      <w:color w:val="808080"/>
    </w:rPr>
  </w:style>
  <w:style w:type="paragraph" w:styleId="Listapunktowana">
    <w:name w:val="List Bullet"/>
    <w:basedOn w:val="Normalny"/>
    <w:uiPriority w:val="99"/>
    <w:unhideWhenUsed/>
    <w:rsid w:val="00806964"/>
    <w:pPr>
      <w:numPr>
        <w:numId w:val="6"/>
      </w:numPr>
      <w:contextualSpacing/>
    </w:pPr>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2317">
      <w:bodyDiv w:val="1"/>
      <w:marLeft w:val="0"/>
      <w:marRight w:val="0"/>
      <w:marTop w:val="0"/>
      <w:marBottom w:val="0"/>
      <w:divBdr>
        <w:top w:val="none" w:sz="0" w:space="0" w:color="auto"/>
        <w:left w:val="none" w:sz="0" w:space="0" w:color="auto"/>
        <w:bottom w:val="none" w:sz="0" w:space="0" w:color="auto"/>
        <w:right w:val="none" w:sz="0" w:space="0" w:color="auto"/>
      </w:divBdr>
    </w:div>
    <w:div w:id="133763050">
      <w:bodyDiv w:val="1"/>
      <w:marLeft w:val="0"/>
      <w:marRight w:val="0"/>
      <w:marTop w:val="0"/>
      <w:marBottom w:val="0"/>
      <w:divBdr>
        <w:top w:val="none" w:sz="0" w:space="0" w:color="auto"/>
        <w:left w:val="none" w:sz="0" w:space="0" w:color="auto"/>
        <w:bottom w:val="none" w:sz="0" w:space="0" w:color="auto"/>
        <w:right w:val="none" w:sz="0" w:space="0" w:color="auto"/>
      </w:divBdr>
    </w:div>
    <w:div w:id="136805788">
      <w:bodyDiv w:val="1"/>
      <w:marLeft w:val="0"/>
      <w:marRight w:val="0"/>
      <w:marTop w:val="0"/>
      <w:marBottom w:val="0"/>
      <w:divBdr>
        <w:top w:val="none" w:sz="0" w:space="0" w:color="auto"/>
        <w:left w:val="none" w:sz="0" w:space="0" w:color="auto"/>
        <w:bottom w:val="none" w:sz="0" w:space="0" w:color="auto"/>
        <w:right w:val="none" w:sz="0" w:space="0" w:color="auto"/>
      </w:divBdr>
    </w:div>
    <w:div w:id="234903627">
      <w:bodyDiv w:val="1"/>
      <w:marLeft w:val="0"/>
      <w:marRight w:val="0"/>
      <w:marTop w:val="0"/>
      <w:marBottom w:val="0"/>
      <w:divBdr>
        <w:top w:val="none" w:sz="0" w:space="0" w:color="auto"/>
        <w:left w:val="none" w:sz="0" w:space="0" w:color="auto"/>
        <w:bottom w:val="none" w:sz="0" w:space="0" w:color="auto"/>
        <w:right w:val="none" w:sz="0" w:space="0" w:color="auto"/>
      </w:divBdr>
    </w:div>
    <w:div w:id="636573880">
      <w:bodyDiv w:val="1"/>
      <w:marLeft w:val="0"/>
      <w:marRight w:val="0"/>
      <w:marTop w:val="0"/>
      <w:marBottom w:val="0"/>
      <w:divBdr>
        <w:top w:val="none" w:sz="0" w:space="0" w:color="auto"/>
        <w:left w:val="none" w:sz="0" w:space="0" w:color="auto"/>
        <w:bottom w:val="none" w:sz="0" w:space="0" w:color="auto"/>
        <w:right w:val="none" w:sz="0" w:space="0" w:color="auto"/>
      </w:divBdr>
    </w:div>
    <w:div w:id="765149380">
      <w:bodyDiv w:val="1"/>
      <w:marLeft w:val="0"/>
      <w:marRight w:val="0"/>
      <w:marTop w:val="0"/>
      <w:marBottom w:val="0"/>
      <w:divBdr>
        <w:top w:val="none" w:sz="0" w:space="0" w:color="auto"/>
        <w:left w:val="none" w:sz="0" w:space="0" w:color="auto"/>
        <w:bottom w:val="none" w:sz="0" w:space="0" w:color="auto"/>
        <w:right w:val="none" w:sz="0" w:space="0" w:color="auto"/>
      </w:divBdr>
    </w:div>
    <w:div w:id="927737253">
      <w:bodyDiv w:val="1"/>
      <w:marLeft w:val="0"/>
      <w:marRight w:val="0"/>
      <w:marTop w:val="0"/>
      <w:marBottom w:val="0"/>
      <w:divBdr>
        <w:top w:val="none" w:sz="0" w:space="0" w:color="auto"/>
        <w:left w:val="none" w:sz="0" w:space="0" w:color="auto"/>
        <w:bottom w:val="none" w:sz="0" w:space="0" w:color="auto"/>
        <w:right w:val="none" w:sz="0" w:space="0" w:color="auto"/>
      </w:divBdr>
    </w:div>
    <w:div w:id="1059128110">
      <w:bodyDiv w:val="1"/>
      <w:marLeft w:val="0"/>
      <w:marRight w:val="0"/>
      <w:marTop w:val="0"/>
      <w:marBottom w:val="0"/>
      <w:divBdr>
        <w:top w:val="none" w:sz="0" w:space="0" w:color="auto"/>
        <w:left w:val="none" w:sz="0" w:space="0" w:color="auto"/>
        <w:bottom w:val="none" w:sz="0" w:space="0" w:color="auto"/>
        <w:right w:val="none" w:sz="0" w:space="0" w:color="auto"/>
      </w:divBdr>
    </w:div>
    <w:div w:id="1258364386">
      <w:bodyDiv w:val="1"/>
      <w:marLeft w:val="0"/>
      <w:marRight w:val="0"/>
      <w:marTop w:val="0"/>
      <w:marBottom w:val="0"/>
      <w:divBdr>
        <w:top w:val="none" w:sz="0" w:space="0" w:color="auto"/>
        <w:left w:val="none" w:sz="0" w:space="0" w:color="auto"/>
        <w:bottom w:val="none" w:sz="0" w:space="0" w:color="auto"/>
        <w:right w:val="none" w:sz="0" w:space="0" w:color="auto"/>
      </w:divBdr>
    </w:div>
    <w:div w:id="1316690745">
      <w:bodyDiv w:val="1"/>
      <w:marLeft w:val="0"/>
      <w:marRight w:val="0"/>
      <w:marTop w:val="0"/>
      <w:marBottom w:val="0"/>
      <w:divBdr>
        <w:top w:val="none" w:sz="0" w:space="0" w:color="auto"/>
        <w:left w:val="none" w:sz="0" w:space="0" w:color="auto"/>
        <w:bottom w:val="none" w:sz="0" w:space="0" w:color="auto"/>
        <w:right w:val="none" w:sz="0" w:space="0" w:color="auto"/>
      </w:divBdr>
    </w:div>
    <w:div w:id="1523661999">
      <w:bodyDiv w:val="1"/>
      <w:marLeft w:val="0"/>
      <w:marRight w:val="0"/>
      <w:marTop w:val="0"/>
      <w:marBottom w:val="0"/>
      <w:divBdr>
        <w:top w:val="none" w:sz="0" w:space="0" w:color="auto"/>
        <w:left w:val="none" w:sz="0" w:space="0" w:color="auto"/>
        <w:bottom w:val="none" w:sz="0" w:space="0" w:color="auto"/>
        <w:right w:val="none" w:sz="0" w:space="0" w:color="auto"/>
      </w:divBdr>
    </w:div>
    <w:div w:id="1622493180">
      <w:bodyDiv w:val="1"/>
      <w:marLeft w:val="0"/>
      <w:marRight w:val="0"/>
      <w:marTop w:val="0"/>
      <w:marBottom w:val="0"/>
      <w:divBdr>
        <w:top w:val="none" w:sz="0" w:space="0" w:color="auto"/>
        <w:left w:val="none" w:sz="0" w:space="0" w:color="auto"/>
        <w:bottom w:val="none" w:sz="0" w:space="0" w:color="auto"/>
        <w:right w:val="none" w:sz="0" w:space="0" w:color="auto"/>
      </w:divBdr>
    </w:div>
    <w:div w:id="1906257906">
      <w:bodyDiv w:val="1"/>
      <w:marLeft w:val="0"/>
      <w:marRight w:val="0"/>
      <w:marTop w:val="0"/>
      <w:marBottom w:val="0"/>
      <w:divBdr>
        <w:top w:val="none" w:sz="0" w:space="0" w:color="auto"/>
        <w:left w:val="none" w:sz="0" w:space="0" w:color="auto"/>
        <w:bottom w:val="none" w:sz="0" w:space="0" w:color="auto"/>
        <w:right w:val="none" w:sz="0" w:space="0" w:color="auto"/>
      </w:divBdr>
    </w:div>
    <w:div w:id="210633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E1625-47BA-459D-A5B5-3F1F36FB9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18</Pages>
  <Words>5332</Words>
  <Characters>34723</Characters>
  <Application>Microsoft Office Word</Application>
  <DocSecurity>0</DocSecurity>
  <Lines>921</Lines>
  <Paragraphs>457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K</cp:lastModifiedBy>
  <cp:revision>10</cp:revision>
  <cp:lastPrinted>2017-09-15T02:20:00Z</cp:lastPrinted>
  <dcterms:created xsi:type="dcterms:W3CDTF">2017-10-09T20:45:00Z</dcterms:created>
  <dcterms:modified xsi:type="dcterms:W3CDTF">2017-10-09T23:06:00Z</dcterms:modified>
</cp:coreProperties>
</file>