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0D0" w:rsidRPr="002D4C5A" w:rsidRDefault="004650D0" w:rsidP="004650D0">
      <w:pPr>
        <w:spacing w:after="0"/>
        <w:rPr>
          <w:rFonts w:ascii="Times New Roman" w:hAnsi="Times New Roman" w:cs="Times New Roman"/>
          <w:sz w:val="24"/>
        </w:rPr>
      </w:pPr>
      <w:r>
        <w:rPr>
          <w:rFonts w:ascii="Times New Roman" w:hAnsi="Times New Roman" w:cs="Times New Roman"/>
          <w:sz w:val="24"/>
        </w:rPr>
        <w:t xml:space="preserve">dr </w:t>
      </w:r>
      <w:r w:rsidRPr="002D4C5A">
        <w:rPr>
          <w:rFonts w:ascii="Times New Roman" w:hAnsi="Times New Roman" w:cs="Times New Roman"/>
          <w:sz w:val="24"/>
        </w:rPr>
        <w:t xml:space="preserve">Mariola </w:t>
      </w:r>
      <w:proofErr w:type="spellStart"/>
      <w:r w:rsidRPr="002D4C5A">
        <w:rPr>
          <w:rFonts w:ascii="Times New Roman" w:hAnsi="Times New Roman" w:cs="Times New Roman"/>
          <w:sz w:val="24"/>
        </w:rPr>
        <w:t>Mamcarczyk</w:t>
      </w:r>
      <w:proofErr w:type="spellEnd"/>
    </w:p>
    <w:p w:rsidR="004650D0" w:rsidRPr="002D4C5A" w:rsidRDefault="004650D0" w:rsidP="004650D0">
      <w:pPr>
        <w:spacing w:after="0"/>
        <w:rPr>
          <w:rFonts w:ascii="Times New Roman" w:hAnsi="Times New Roman" w:cs="Times New Roman"/>
          <w:sz w:val="24"/>
        </w:rPr>
      </w:pPr>
      <w:r w:rsidRPr="002D4C5A">
        <w:rPr>
          <w:rFonts w:ascii="Times New Roman" w:hAnsi="Times New Roman" w:cs="Times New Roman"/>
          <w:sz w:val="24"/>
        </w:rPr>
        <w:t>Katedra Finansów Samorządowych</w:t>
      </w:r>
    </w:p>
    <w:p w:rsidR="004650D0" w:rsidRPr="002D4C5A" w:rsidRDefault="004650D0" w:rsidP="004650D0">
      <w:pPr>
        <w:spacing w:after="0"/>
        <w:rPr>
          <w:rFonts w:ascii="Times New Roman" w:hAnsi="Times New Roman" w:cs="Times New Roman"/>
          <w:sz w:val="24"/>
        </w:rPr>
      </w:pPr>
      <w:r w:rsidRPr="002D4C5A">
        <w:rPr>
          <w:rFonts w:ascii="Times New Roman" w:hAnsi="Times New Roman" w:cs="Times New Roman"/>
          <w:sz w:val="24"/>
        </w:rPr>
        <w:t>Uniwersytet Ekonomiczny w Krakowie</w:t>
      </w:r>
    </w:p>
    <w:p w:rsidR="004650D0" w:rsidRPr="002D4C5A" w:rsidRDefault="004650D0" w:rsidP="004650D0">
      <w:pPr>
        <w:spacing w:after="0"/>
        <w:rPr>
          <w:rFonts w:ascii="Times New Roman" w:hAnsi="Times New Roman" w:cs="Times New Roman"/>
          <w:sz w:val="24"/>
        </w:rPr>
      </w:pPr>
    </w:p>
    <w:p w:rsidR="004650D0" w:rsidRDefault="004650D0" w:rsidP="004650D0">
      <w:pPr>
        <w:spacing w:after="0"/>
        <w:jc w:val="both"/>
        <w:rPr>
          <w:rFonts w:ascii="Times New Roman" w:hAnsi="Times New Roman" w:cs="Times New Roman"/>
          <w:b/>
          <w:sz w:val="28"/>
        </w:rPr>
      </w:pPr>
      <w:r>
        <w:rPr>
          <w:rFonts w:ascii="Times New Roman" w:hAnsi="Times New Roman" w:cs="Times New Roman"/>
          <w:b/>
          <w:sz w:val="28"/>
        </w:rPr>
        <w:t>Szacowanie</w:t>
      </w:r>
      <w:r w:rsidRPr="002D4C5A">
        <w:rPr>
          <w:rFonts w:ascii="Times New Roman" w:hAnsi="Times New Roman" w:cs="Times New Roman"/>
          <w:b/>
          <w:sz w:val="28"/>
        </w:rPr>
        <w:t xml:space="preserve"> pożądanego poziomu </w:t>
      </w:r>
      <w:r>
        <w:rPr>
          <w:rFonts w:ascii="Times New Roman" w:hAnsi="Times New Roman" w:cs="Times New Roman"/>
          <w:b/>
          <w:sz w:val="28"/>
        </w:rPr>
        <w:t xml:space="preserve">lokalnej </w:t>
      </w:r>
      <w:r w:rsidRPr="002D4C5A">
        <w:rPr>
          <w:rFonts w:ascii="Times New Roman" w:hAnsi="Times New Roman" w:cs="Times New Roman"/>
          <w:b/>
          <w:sz w:val="28"/>
        </w:rPr>
        <w:t xml:space="preserve">infrastruktury sportowej </w:t>
      </w:r>
      <w:r>
        <w:rPr>
          <w:rFonts w:ascii="Times New Roman" w:hAnsi="Times New Roman" w:cs="Times New Roman"/>
          <w:b/>
          <w:sz w:val="28"/>
        </w:rPr>
        <w:br/>
        <w:t>w ujęciu regionalnym i lokalnym</w:t>
      </w:r>
    </w:p>
    <w:p w:rsidR="004650D0" w:rsidRPr="000416F0" w:rsidRDefault="004650D0" w:rsidP="004650D0">
      <w:pPr>
        <w:spacing w:after="0"/>
        <w:rPr>
          <w:rFonts w:ascii="Times New Roman" w:hAnsi="Times New Roman" w:cs="Times New Roman"/>
          <w:sz w:val="24"/>
        </w:rPr>
      </w:pPr>
    </w:p>
    <w:p w:rsidR="004650D0" w:rsidRPr="00A6689F" w:rsidRDefault="004650D0" w:rsidP="004650D0">
      <w:pPr>
        <w:spacing w:after="0"/>
        <w:jc w:val="both"/>
        <w:rPr>
          <w:rFonts w:ascii="Times New Roman" w:hAnsi="Times New Roman" w:cs="Times New Roman"/>
          <w:b/>
          <w:sz w:val="28"/>
          <w:lang w:val="en-US"/>
        </w:rPr>
      </w:pPr>
      <w:r w:rsidRPr="00A6689F">
        <w:rPr>
          <w:rFonts w:ascii="Times New Roman" w:hAnsi="Times New Roman" w:cs="Times New Roman"/>
          <w:b/>
          <w:sz w:val="28"/>
          <w:lang w:val="en-US"/>
        </w:rPr>
        <w:t>Estimating the desired level of local sports infrastructure on a regional and local basis</w:t>
      </w:r>
    </w:p>
    <w:p w:rsidR="004650D0" w:rsidRPr="004650D0" w:rsidRDefault="004650D0" w:rsidP="004650D0">
      <w:pPr>
        <w:spacing w:after="0" w:line="240" w:lineRule="auto"/>
        <w:rPr>
          <w:rFonts w:ascii="Times New Roman" w:eastAsiaTheme="majorEastAsia" w:hAnsi="Times New Roman" w:cs="Times New Roman"/>
          <w:bCs/>
          <w:iCs/>
          <w:sz w:val="24"/>
          <w:szCs w:val="24"/>
          <w:lang w:val="en-US"/>
        </w:rPr>
      </w:pPr>
    </w:p>
    <w:p w:rsidR="004650D0" w:rsidRPr="00F74CDB" w:rsidRDefault="004650D0" w:rsidP="004650D0">
      <w:pPr>
        <w:spacing w:after="0" w:line="240" w:lineRule="auto"/>
        <w:rPr>
          <w:rFonts w:ascii="Times New Roman" w:eastAsiaTheme="majorEastAsia" w:hAnsi="Times New Roman" w:cs="Times New Roman"/>
          <w:b/>
          <w:bCs/>
          <w:iCs/>
          <w:sz w:val="24"/>
          <w:szCs w:val="24"/>
        </w:rPr>
      </w:pPr>
      <w:r w:rsidRPr="00F74CDB">
        <w:rPr>
          <w:rFonts w:ascii="Times New Roman" w:eastAsiaTheme="majorEastAsia" w:hAnsi="Times New Roman" w:cs="Times New Roman"/>
          <w:b/>
          <w:bCs/>
          <w:iCs/>
          <w:sz w:val="24"/>
          <w:szCs w:val="24"/>
        </w:rPr>
        <w:t xml:space="preserve">Streszczenie </w:t>
      </w:r>
    </w:p>
    <w:p w:rsidR="004650D0" w:rsidRDefault="004650D0" w:rsidP="004650D0">
      <w:pPr>
        <w:spacing w:after="0" w:line="240" w:lineRule="auto"/>
        <w:rPr>
          <w:rFonts w:ascii="Times New Roman" w:eastAsiaTheme="majorEastAsia" w:hAnsi="Times New Roman" w:cs="Times New Roman"/>
          <w:bCs/>
          <w:iCs/>
          <w:sz w:val="24"/>
          <w:szCs w:val="24"/>
        </w:rPr>
      </w:pPr>
      <w:bookmarkStart w:id="0" w:name="_GoBack"/>
      <w:bookmarkEnd w:id="0"/>
    </w:p>
    <w:p w:rsidR="004650D0" w:rsidRDefault="004650D0" w:rsidP="004650D0">
      <w:pPr>
        <w:spacing w:after="0" w:line="360" w:lineRule="auto"/>
        <w:ind w:firstLine="360"/>
        <w:jc w:val="both"/>
        <w:rPr>
          <w:rFonts w:ascii="Times New Roman" w:hAnsi="Times New Roman" w:cs="Times New Roman"/>
          <w:sz w:val="24"/>
        </w:rPr>
      </w:pPr>
      <w:r>
        <w:rPr>
          <w:rFonts w:ascii="Times New Roman" w:eastAsiaTheme="majorEastAsia" w:hAnsi="Times New Roman" w:cs="Times New Roman"/>
          <w:bCs/>
          <w:iCs/>
          <w:sz w:val="24"/>
          <w:szCs w:val="24"/>
        </w:rPr>
        <w:tab/>
      </w:r>
      <w:r>
        <w:rPr>
          <w:rFonts w:ascii="Times New Roman" w:hAnsi="Times New Roman" w:cs="Times New Roman"/>
          <w:sz w:val="24"/>
        </w:rPr>
        <w:t>Celem artykułu było przedstawienie metody pozwalającej oszacować pożądany poziom infrastruktury sportowej na danym terenie. Znając liczbę obiektów, które powinny się pojawić można próbować wypracować korzystne rozwiązanie w zakresie polityki rozwoju lokalnej infrastruktury sportowej.</w:t>
      </w:r>
    </w:p>
    <w:p w:rsidR="004650D0" w:rsidRDefault="004650D0" w:rsidP="004650D0">
      <w:pPr>
        <w:spacing w:after="0" w:line="360" w:lineRule="auto"/>
        <w:ind w:firstLine="360"/>
        <w:jc w:val="both"/>
        <w:rPr>
          <w:rFonts w:ascii="Times New Roman" w:hAnsi="Times New Roman" w:cs="Times New Roman"/>
          <w:sz w:val="24"/>
          <w:szCs w:val="24"/>
          <w:lang w:eastAsia="pl-PL"/>
        </w:rPr>
      </w:pPr>
      <w:r>
        <w:rPr>
          <w:rFonts w:ascii="Times New Roman" w:eastAsiaTheme="majorEastAsia" w:hAnsi="Times New Roman" w:cs="Times New Roman"/>
          <w:bCs/>
          <w:iCs/>
          <w:sz w:val="24"/>
          <w:szCs w:val="24"/>
        </w:rPr>
        <w:t xml:space="preserve">Przedstawiono analizę stanu infrastruktury sportowej w powiecie wadowickim. Ze względu na dostępność danych było to możliwe tylko za lata 2010 i 2014. Do tego celu wykorzystano informacje udostępnione przez Urząd Statystyczny w Krakowie dotyczące obiektów sportowych. Zbadano liczbę mieszkańców przypadającą na jeden obiekt sportowy we wszystkich 10 gminach powiatu wadowickiego oraz porównano </w:t>
      </w:r>
      <w:r>
        <w:rPr>
          <w:rFonts w:ascii="Times New Roman" w:eastAsiaTheme="majorEastAsia" w:hAnsi="Times New Roman" w:cs="Times New Roman"/>
          <w:bCs/>
          <w:iCs/>
          <w:sz w:val="24"/>
          <w:szCs w:val="24"/>
        </w:rPr>
        <w:br/>
        <w:t xml:space="preserve">z wynikami dla województwa małopolskiego, </w:t>
      </w:r>
      <w:r w:rsidRPr="00F74CDB">
        <w:rPr>
          <w:rFonts w:ascii="Times New Roman" w:eastAsiaTheme="majorEastAsia" w:hAnsi="Times New Roman" w:cs="Times New Roman"/>
          <w:bCs/>
          <w:iCs/>
          <w:sz w:val="24"/>
          <w:szCs w:val="24"/>
        </w:rPr>
        <w:t>poszczególnych</w:t>
      </w:r>
      <w:r>
        <w:rPr>
          <w:rFonts w:ascii="Times New Roman" w:eastAsiaTheme="majorEastAsia" w:hAnsi="Times New Roman" w:cs="Times New Roman"/>
          <w:bCs/>
          <w:iCs/>
          <w:sz w:val="24"/>
          <w:szCs w:val="24"/>
        </w:rPr>
        <w:t xml:space="preserve"> województw oraz Polski ogółem.</w:t>
      </w:r>
    </w:p>
    <w:p w:rsidR="004650D0" w:rsidRPr="000E5E20" w:rsidRDefault="004650D0" w:rsidP="004650D0">
      <w:pPr>
        <w:rPr>
          <w:rFonts w:ascii="Times New Roman" w:hAnsi="Times New Roman" w:cs="Times New Roman"/>
          <w:b/>
          <w:sz w:val="24"/>
        </w:rPr>
      </w:pPr>
    </w:p>
    <w:p w:rsidR="004650D0" w:rsidRPr="00F74CDB" w:rsidRDefault="004650D0" w:rsidP="004650D0">
      <w:pPr>
        <w:rPr>
          <w:rFonts w:ascii="Times New Roman" w:hAnsi="Times New Roman" w:cs="Times New Roman"/>
          <w:b/>
          <w:sz w:val="24"/>
          <w:lang w:val="en-US"/>
        </w:rPr>
      </w:pPr>
      <w:r w:rsidRPr="00F74CDB">
        <w:rPr>
          <w:rFonts w:ascii="Times New Roman" w:hAnsi="Times New Roman" w:cs="Times New Roman"/>
          <w:b/>
          <w:sz w:val="24"/>
          <w:lang w:val="en-US"/>
        </w:rPr>
        <w:t>Summary</w:t>
      </w:r>
    </w:p>
    <w:p w:rsidR="004650D0" w:rsidRDefault="004650D0" w:rsidP="004650D0">
      <w:pPr>
        <w:rPr>
          <w:rFonts w:ascii="Times New Roman" w:hAnsi="Times New Roman" w:cs="Times New Roman"/>
          <w:sz w:val="24"/>
          <w:lang w:val="en-US"/>
        </w:rPr>
      </w:pPr>
    </w:p>
    <w:p w:rsidR="004650D0" w:rsidRPr="00A5075B" w:rsidRDefault="004650D0" w:rsidP="004650D0">
      <w:pPr>
        <w:spacing w:after="0" w:line="360" w:lineRule="auto"/>
        <w:jc w:val="both"/>
        <w:rPr>
          <w:rFonts w:ascii="Times New Roman" w:hAnsi="Times New Roman" w:cs="Times New Roman"/>
          <w:sz w:val="24"/>
          <w:lang w:val="en-US"/>
        </w:rPr>
      </w:pPr>
      <w:r w:rsidRPr="00A5075B">
        <w:rPr>
          <w:rFonts w:ascii="Times New Roman" w:hAnsi="Times New Roman" w:cs="Times New Roman"/>
          <w:sz w:val="24"/>
          <w:lang w:val="en-US"/>
        </w:rPr>
        <w:t>The aim of the article was to present a method of estimating the desired level of sports infrastructure in a given area. Knowing the number of objects that should appear, one can try to work out a beneficial solution in the field of local sports infrastructure development.</w:t>
      </w:r>
    </w:p>
    <w:p w:rsidR="004650D0" w:rsidRDefault="004650D0" w:rsidP="004650D0">
      <w:pPr>
        <w:spacing w:after="0" w:line="360" w:lineRule="auto"/>
        <w:jc w:val="both"/>
        <w:rPr>
          <w:rFonts w:ascii="Times New Roman" w:hAnsi="Times New Roman" w:cs="Times New Roman"/>
          <w:sz w:val="24"/>
          <w:lang w:val="en-US"/>
        </w:rPr>
      </w:pPr>
      <w:r w:rsidRPr="00A5075B">
        <w:rPr>
          <w:rFonts w:ascii="Times New Roman" w:hAnsi="Times New Roman" w:cs="Times New Roman"/>
          <w:sz w:val="24"/>
          <w:lang w:val="en-US"/>
        </w:rPr>
        <w:t xml:space="preserve"> An analysis of the state of sports infrastructure in the district of Wadowice was presented. Due to the availability of data it was only possible for 2010 and 2014. For this purpose information was provided by the Statistical Office in Krakow concerning sports facilities. The number of inhabitants per sport facility was measured in all 10 municipalities </w:t>
      </w:r>
      <w:r>
        <w:rPr>
          <w:rFonts w:ascii="Times New Roman" w:hAnsi="Times New Roman" w:cs="Times New Roman"/>
          <w:sz w:val="24"/>
          <w:lang w:val="en-US"/>
        </w:rPr>
        <w:t>of Wadowice County and compared w</w:t>
      </w:r>
      <w:r w:rsidRPr="00A5075B">
        <w:rPr>
          <w:rFonts w:ascii="Times New Roman" w:hAnsi="Times New Roman" w:cs="Times New Roman"/>
          <w:sz w:val="24"/>
          <w:lang w:val="en-US"/>
        </w:rPr>
        <w:t xml:space="preserve">ith results for </w:t>
      </w:r>
      <w:proofErr w:type="spellStart"/>
      <w:r w:rsidRPr="00A5075B">
        <w:rPr>
          <w:rFonts w:ascii="Times New Roman" w:hAnsi="Times New Roman" w:cs="Times New Roman"/>
          <w:sz w:val="24"/>
          <w:lang w:val="en-US"/>
        </w:rPr>
        <w:t>Małopolskie</w:t>
      </w:r>
      <w:proofErr w:type="spellEnd"/>
      <w:r w:rsidRPr="00A5075B">
        <w:rPr>
          <w:rFonts w:ascii="Times New Roman" w:hAnsi="Times New Roman" w:cs="Times New Roman"/>
          <w:sz w:val="24"/>
          <w:lang w:val="en-US"/>
        </w:rPr>
        <w:t xml:space="preserve">, </w:t>
      </w:r>
      <w:r>
        <w:rPr>
          <w:rFonts w:ascii="Times New Roman" w:hAnsi="Times New Roman" w:cs="Times New Roman"/>
          <w:sz w:val="24"/>
          <w:lang w:val="en-US"/>
        </w:rPr>
        <w:t xml:space="preserve">each </w:t>
      </w:r>
      <w:r w:rsidRPr="00A5075B">
        <w:rPr>
          <w:rFonts w:ascii="Times New Roman" w:hAnsi="Times New Roman" w:cs="Times New Roman"/>
          <w:sz w:val="24"/>
          <w:lang w:val="en-US"/>
        </w:rPr>
        <w:t>voivodships and Poland in general.</w:t>
      </w:r>
    </w:p>
    <w:p w:rsidR="001E08C7" w:rsidRPr="004650D0" w:rsidRDefault="004650D0">
      <w:pPr>
        <w:rPr>
          <w:lang w:val="en-US"/>
        </w:rPr>
      </w:pPr>
    </w:p>
    <w:sectPr w:rsidR="001E08C7" w:rsidRPr="004650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F2D"/>
    <w:rsid w:val="001E339B"/>
    <w:rsid w:val="00202325"/>
    <w:rsid w:val="00354F2D"/>
    <w:rsid w:val="004650D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650D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650D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258</Words>
  <Characters>1548</Characters>
  <Application>Microsoft Office Word</Application>
  <DocSecurity>0</DocSecurity>
  <Lines>12</Lines>
  <Paragraphs>3</Paragraphs>
  <ScaleCrop>false</ScaleCrop>
  <Company/>
  <LinksUpToDate>false</LinksUpToDate>
  <CharactersWithSpaces>1803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seria3</dc:creator>
  <cp:keywords/>
  <dc:description/>
  <cp:lastModifiedBy>seria3</cp:lastModifiedBy>
  <cp:revision>2</cp:revision>
  <dcterms:created xsi:type="dcterms:W3CDTF">2017-09-24T14:37:00Z</dcterms:created>
  <dcterms:modified xsi:type="dcterms:W3CDTF">2017-09-24T14:38:00Z</dcterms:modified>
</cp:coreProperties>
</file>