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63" w:rsidRPr="00D8510B" w:rsidRDefault="00A12063" w:rsidP="00A12063">
      <w:pPr>
        <w:tabs>
          <w:tab w:val="left" w:pos="340"/>
        </w:tabs>
        <w:spacing w:line="360" w:lineRule="auto"/>
        <w:jc w:val="center"/>
        <w:rPr>
          <w:bCs/>
          <w:sz w:val="22"/>
          <w:szCs w:val="22"/>
        </w:rPr>
      </w:pPr>
      <w:r w:rsidRPr="000950D3">
        <w:rPr>
          <w:bCs/>
          <w:sz w:val="22"/>
          <w:szCs w:val="22"/>
        </w:rPr>
        <w:t xml:space="preserve">Tabela </w:t>
      </w:r>
      <w:r>
        <w:rPr>
          <w:bCs/>
          <w:sz w:val="22"/>
          <w:szCs w:val="22"/>
        </w:rPr>
        <w:t>6</w:t>
      </w:r>
      <w:r w:rsidRPr="000950D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Dynamiczne w</w:t>
      </w:r>
      <w:r w:rsidRPr="00D8510B">
        <w:rPr>
          <w:bCs/>
          <w:sz w:val="22"/>
          <w:szCs w:val="22"/>
        </w:rPr>
        <w:t xml:space="preserve">skaźniki płynności </w:t>
      </w:r>
      <w:r w:rsidRPr="00F45B7D">
        <w:rPr>
          <w:bCs/>
          <w:sz w:val="24"/>
          <w:szCs w:val="24"/>
        </w:rPr>
        <w:t>PKN ORLEN S.A.</w:t>
      </w:r>
    </w:p>
    <w:tbl>
      <w:tblPr>
        <w:tblStyle w:val="Tabela-Siatka"/>
        <w:tblW w:w="0" w:type="auto"/>
        <w:tblLayout w:type="fixed"/>
        <w:tblLook w:val="04A0"/>
      </w:tblPr>
      <w:tblGrid>
        <w:gridCol w:w="1859"/>
        <w:gridCol w:w="1651"/>
        <w:gridCol w:w="1701"/>
        <w:gridCol w:w="1843"/>
        <w:gridCol w:w="1665"/>
      </w:tblGrid>
      <w:tr w:rsidR="00A12063" w:rsidTr="00355A9D"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ind w:left="9" w:hanging="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Wskaźnik</w:t>
            </w:r>
          </w:p>
        </w:tc>
        <w:tc>
          <w:tcPr>
            <w:tcW w:w="6860" w:type="dxa"/>
            <w:gridSpan w:val="4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Wartość wskaźnika</w:t>
            </w:r>
          </w:p>
        </w:tc>
      </w:tr>
      <w:tr w:rsidR="00A12063" w:rsidTr="00355A9D">
        <w:tc>
          <w:tcPr>
            <w:tcW w:w="1859" w:type="dxa"/>
            <w:vMerge/>
            <w:tcBorders>
              <w:left w:val="single" w:sz="4" w:space="0" w:color="auto"/>
            </w:tcBorders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0" w:type="dxa"/>
            <w:gridSpan w:val="4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Lata</w:t>
            </w:r>
          </w:p>
        </w:tc>
      </w:tr>
      <w:tr w:rsidR="00A12063" w:rsidTr="00355A9D">
        <w:tc>
          <w:tcPr>
            <w:tcW w:w="1859" w:type="dxa"/>
            <w:vMerge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701" w:type="dxa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1665" w:type="dxa"/>
          </w:tcPr>
          <w:p w:rsidR="00A12063" w:rsidRPr="000950D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</w:tr>
      <w:tr w:rsidR="00A12063" w:rsidTr="00355A9D">
        <w:tc>
          <w:tcPr>
            <w:tcW w:w="1859" w:type="dxa"/>
          </w:tcPr>
          <w:p w:rsidR="00A12063" w:rsidRPr="000950D3" w:rsidRDefault="00A12063" w:rsidP="00355A9D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50D3">
              <w:rPr>
                <w:rFonts w:ascii="Times New Roman" w:hAnsi="Times New Roman" w:cs="Times New Roman"/>
                <w:bCs/>
                <w:sz w:val="20"/>
                <w:szCs w:val="20"/>
              </w:rPr>
              <w:t>wystarczalności gotówkowej na spłatę zobowiązań ogółem</w:t>
            </w:r>
          </w:p>
        </w:tc>
        <w:tc>
          <w:tcPr>
            <w:tcW w:w="1651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0,23</w:t>
            </w:r>
          </w:p>
        </w:tc>
        <w:tc>
          <w:tcPr>
            <w:tcW w:w="1701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0,10</w:t>
            </w:r>
          </w:p>
        </w:tc>
        <w:tc>
          <w:tcPr>
            <w:tcW w:w="1843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0,05</w:t>
            </w:r>
          </w:p>
        </w:tc>
        <w:tc>
          <w:tcPr>
            <w:tcW w:w="1665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0,26</w:t>
            </w:r>
          </w:p>
        </w:tc>
      </w:tr>
      <w:tr w:rsidR="00A12063" w:rsidTr="00355A9D">
        <w:tc>
          <w:tcPr>
            <w:tcW w:w="1859" w:type="dxa"/>
          </w:tcPr>
          <w:p w:rsidR="00A12063" w:rsidRPr="000D5BA5" w:rsidRDefault="00A12063" w:rsidP="00355A9D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5BA5">
              <w:rPr>
                <w:rFonts w:ascii="Times New Roman" w:hAnsi="Times New Roman" w:cs="Times New Roman"/>
                <w:bCs/>
                <w:sz w:val="20"/>
                <w:szCs w:val="20"/>
              </w:rPr>
              <w:t>wydajności gotówkowej majątku</w:t>
            </w:r>
          </w:p>
        </w:tc>
        <w:tc>
          <w:tcPr>
            <w:tcW w:w="1651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0,10</w:t>
            </w:r>
          </w:p>
        </w:tc>
        <w:tc>
          <w:tcPr>
            <w:tcW w:w="1701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0,06</w:t>
            </w:r>
          </w:p>
        </w:tc>
        <w:tc>
          <w:tcPr>
            <w:tcW w:w="1843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665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0,14</w:t>
            </w:r>
          </w:p>
        </w:tc>
      </w:tr>
      <w:tr w:rsidR="00A12063" w:rsidTr="00355A9D">
        <w:tc>
          <w:tcPr>
            <w:tcW w:w="1859" w:type="dxa"/>
          </w:tcPr>
          <w:p w:rsidR="00A12063" w:rsidRPr="000D5BA5" w:rsidRDefault="00A12063" w:rsidP="00355A9D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5B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udziału zysku netto w środkach pieniężnych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netto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D5BA5">
              <w:rPr>
                <w:rFonts w:ascii="Times New Roman" w:hAnsi="Times New Roman" w:cs="Times New Roman"/>
                <w:bCs/>
                <w:sz w:val="20"/>
                <w:szCs w:val="20"/>
              </w:rPr>
              <w:t>z działalności operacyjnej</w:t>
            </w:r>
          </w:p>
        </w:tc>
        <w:tc>
          <w:tcPr>
            <w:tcW w:w="1651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0,14</w:t>
            </w:r>
          </w:p>
        </w:tc>
        <w:tc>
          <w:tcPr>
            <w:tcW w:w="1701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- 2,11</w:t>
            </w:r>
          </w:p>
        </w:tc>
        <w:tc>
          <w:tcPr>
            <w:tcW w:w="1843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1,11</w:t>
            </w:r>
          </w:p>
        </w:tc>
        <w:tc>
          <w:tcPr>
            <w:tcW w:w="1665" w:type="dxa"/>
          </w:tcPr>
          <w:p w:rsidR="00A12063" w:rsidRPr="008311A3" w:rsidRDefault="00A12063" w:rsidP="00355A9D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1A3">
              <w:rPr>
                <w:rFonts w:ascii="Times New Roman" w:hAnsi="Times New Roman" w:cs="Times New Roman"/>
                <w:bCs/>
                <w:sz w:val="20"/>
                <w:szCs w:val="20"/>
              </w:rPr>
              <w:t>0,99</w:t>
            </w:r>
          </w:p>
        </w:tc>
      </w:tr>
    </w:tbl>
    <w:p w:rsidR="00A12063" w:rsidRDefault="00A12063" w:rsidP="00A12063">
      <w:pPr>
        <w:tabs>
          <w:tab w:val="left" w:pos="340"/>
        </w:tabs>
        <w:rPr>
          <w:bCs/>
        </w:rPr>
      </w:pPr>
      <w:r w:rsidRPr="008075D9">
        <w:rPr>
          <w:bCs/>
        </w:rPr>
        <w:t xml:space="preserve">Źródło: </w:t>
      </w:r>
      <w:r>
        <w:rPr>
          <w:bCs/>
        </w:rPr>
        <w:t>o</w:t>
      </w:r>
      <w:r w:rsidRPr="008075D9">
        <w:rPr>
          <w:bCs/>
        </w:rPr>
        <w:t>pracowanie własne na podstawie danych zawartych w jednostkowych sprawozdaniach finan</w:t>
      </w:r>
      <w:r>
        <w:rPr>
          <w:bCs/>
        </w:rPr>
        <w:t>sowych PKN ORLEN S.A. z lat 2013–2016</w:t>
      </w:r>
      <w:r w:rsidRPr="008075D9">
        <w:rPr>
          <w:bCs/>
        </w:rPr>
        <w:t>.</w:t>
      </w:r>
    </w:p>
    <w:p w:rsidR="00A12063" w:rsidRDefault="00A12063" w:rsidP="00A12063"/>
    <w:p w:rsidR="005B5309" w:rsidRDefault="005B5309"/>
    <w:sectPr w:rsidR="005B5309" w:rsidSect="005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12063"/>
    <w:rsid w:val="00070966"/>
    <w:rsid w:val="00456D59"/>
    <w:rsid w:val="004C769F"/>
    <w:rsid w:val="005B5309"/>
    <w:rsid w:val="007D6A04"/>
    <w:rsid w:val="00A1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063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2017-09-22T12:26:00Z</dcterms:created>
  <dcterms:modified xsi:type="dcterms:W3CDTF">2017-09-22T12:26:00Z</dcterms:modified>
</cp:coreProperties>
</file>