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B4" w:rsidRPr="00ED1F7A" w:rsidRDefault="009F3EB4" w:rsidP="009F3EB4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F7A">
        <w:rPr>
          <w:rFonts w:ascii="Times New Roman" w:hAnsi="Times New Roman" w:cs="Times New Roman"/>
          <w:sz w:val="24"/>
          <w:szCs w:val="24"/>
        </w:rPr>
        <w:t>Prof. dr hab. Krzysztof Firlej, mgr Sebastian Kubala</w:t>
      </w:r>
    </w:p>
    <w:p w:rsidR="009F3EB4" w:rsidRPr="00ED1F7A" w:rsidRDefault="009F3EB4" w:rsidP="009F3EB4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F7A">
        <w:rPr>
          <w:rFonts w:ascii="Times New Roman" w:hAnsi="Times New Roman" w:cs="Times New Roman"/>
          <w:sz w:val="24"/>
          <w:szCs w:val="24"/>
        </w:rPr>
        <w:t>Katedra Strategii Zarządzania i Rozwoju Organizacji</w:t>
      </w:r>
    </w:p>
    <w:p w:rsidR="009F3EB4" w:rsidRPr="00ED1F7A" w:rsidRDefault="009F3EB4" w:rsidP="009F3EB4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F7A"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9F3EB4" w:rsidRDefault="009F3EB4" w:rsidP="009F3EB4">
      <w:p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623D6">
        <w:rPr>
          <w:rFonts w:ascii="Times New Roman" w:hAnsi="Times New Roman"/>
          <w:lang w:val="en-US"/>
        </w:rPr>
        <w:t>krzysztof.firlej@uek.krakow.pl</w:t>
      </w:r>
    </w:p>
    <w:p w:rsidR="009F3EB4" w:rsidRDefault="009F3EB4" w:rsidP="009F3EB4">
      <w:p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F3EB4" w:rsidRPr="009F3EB4" w:rsidRDefault="009F3EB4" w:rsidP="009F3EB4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7A">
        <w:rPr>
          <w:rFonts w:ascii="Times New Roman" w:hAnsi="Times New Roman" w:cs="Times New Roman"/>
          <w:b/>
          <w:sz w:val="28"/>
          <w:szCs w:val="28"/>
        </w:rPr>
        <w:t>Ceny ziemi rolnej Polska – Unia Europejska</w:t>
      </w:r>
    </w:p>
    <w:p w:rsidR="009F3EB4" w:rsidRDefault="009F3EB4" w:rsidP="007951D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7951DE" w:rsidRDefault="007951DE" w:rsidP="007951D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Średnie ceny gruntów rolnych w krajach Unii Europejskiej w latach 2005-2015 (euro/ha)</w:t>
      </w:r>
    </w:p>
    <w:tbl>
      <w:tblPr>
        <w:tblW w:w="8505" w:type="dxa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1"/>
        <w:gridCol w:w="650"/>
        <w:gridCol w:w="650"/>
        <w:gridCol w:w="650"/>
        <w:gridCol w:w="650"/>
        <w:gridCol w:w="650"/>
        <w:gridCol w:w="650"/>
        <w:gridCol w:w="650"/>
        <w:gridCol w:w="650"/>
        <w:gridCol w:w="757"/>
        <w:gridCol w:w="709"/>
        <w:gridCol w:w="708"/>
      </w:tblGrid>
      <w:tr w:rsidR="007951DE" w:rsidRPr="00F631E4" w:rsidTr="00200527">
        <w:trPr>
          <w:trHeight w:val="285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2015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auto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Belgia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22053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27910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29824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29400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28300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33300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Bułgaria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1560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1518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2096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2812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3037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3743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Czechy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1621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1625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1867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2340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2520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3630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5070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5960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18787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22791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25745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26440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26850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23320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21880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22240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23172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23417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Niemcy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8692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8909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9205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9955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10908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11854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13493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14424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16381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18099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19578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Estonia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1390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1934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2409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2432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Irlandia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49990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39191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27990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23930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24850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26138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25926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25990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25520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Hiszpania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7081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10402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10974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10465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9705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9663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10003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10451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Francja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4880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5090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5230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5430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5420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5750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5910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6010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Włochy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bd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15900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16210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18500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19400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19380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19300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19854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Łotwa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2301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1374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1430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1998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2323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Litwa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1480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2390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2150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3025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Luksemburg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14874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17047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16920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17853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23648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24230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26621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27438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Węgry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1820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1639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2090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2320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2550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2754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Malta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129819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130000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91212B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91212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130000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Holandia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30235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31276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24969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40196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48328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49000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52100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53200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55500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1781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2141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2891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3973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3698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4511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5345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5736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6919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8142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  PL s. </w:t>
            </w:r>
            <w:proofErr w:type="spellStart"/>
            <w:r w:rsidRPr="00695D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pryw</w:t>
            </w:r>
            <w:proofErr w:type="spellEnd"/>
            <w:r w:rsidRPr="00695D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2108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2388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3199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4379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3945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4515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4855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6080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6275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7722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9221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  PL ANR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1454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1893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2583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3566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3451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3825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4166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4609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5197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6115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7062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Portugalia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11402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11070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10163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9700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9633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10116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10451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Rumunia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Słowenia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20066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17332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15800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15800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14915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14767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15545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16009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14000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Słowacja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1328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4500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Finlandia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5377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5979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6250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6000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7840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7640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7500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8100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8500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8250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Szwecja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bd 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3706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3957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4360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4320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4415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5590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5370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5370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5530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5945</w:t>
            </w:r>
          </w:p>
        </w:tc>
      </w:tr>
      <w:tr w:rsidR="007951DE" w:rsidRPr="00F631E4" w:rsidTr="00200527">
        <w:trPr>
          <w:trHeight w:val="300"/>
        </w:trPr>
        <w:tc>
          <w:tcPr>
            <w:tcW w:w="1131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W. Brytania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12995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13382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11965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14413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15394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16740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17204</w:t>
            </w:r>
          </w:p>
        </w:tc>
        <w:tc>
          <w:tcPr>
            <w:tcW w:w="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18440</w:t>
            </w:r>
          </w:p>
        </w:tc>
        <w:tc>
          <w:tcPr>
            <w:tcW w:w="75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19057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21560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DE" w:rsidRPr="00695D24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5D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21260</w:t>
            </w:r>
          </w:p>
        </w:tc>
      </w:tr>
    </w:tbl>
    <w:p w:rsidR="007951DE" w:rsidRPr="00D425B8" w:rsidRDefault="007951DE" w:rsidP="007951DE">
      <w:pPr>
        <w:spacing w:before="120"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D425B8">
        <w:rPr>
          <w:rFonts w:ascii="Times New Roman" w:hAnsi="Times New Roman" w:cs="Times New Roman"/>
          <w:i/>
          <w:sz w:val="24"/>
          <w:szCs w:val="24"/>
        </w:rPr>
        <w:t xml:space="preserve">Źródło: </w:t>
      </w:r>
      <w:r>
        <w:rPr>
          <w:rFonts w:ascii="Times New Roman" w:hAnsi="Times New Roman" w:cs="Times New Roman"/>
          <w:i/>
          <w:sz w:val="24"/>
          <w:szCs w:val="24"/>
        </w:rPr>
        <w:t xml:space="preserve">opracowanie własne na podstawie: A. Sikorska, Rynek Ziemi Rolniczej – stan i perspektywy,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IERiGŻ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PIB, nr 19; danych urzędów statystycznych, ministerstw rolnictwa w analizowanych krajach.</w:t>
      </w:r>
    </w:p>
    <w:p w:rsidR="009F3EB4" w:rsidRDefault="009F3EB4" w:rsidP="007951DE">
      <w:pPr>
        <w:spacing w:after="0" w:line="360" w:lineRule="auto"/>
        <w:ind w:left="0"/>
      </w:pPr>
    </w:p>
    <w:p w:rsidR="009F3EB4" w:rsidRDefault="009F3EB4" w:rsidP="007951DE">
      <w:pPr>
        <w:spacing w:after="0" w:line="360" w:lineRule="auto"/>
        <w:ind w:left="0"/>
      </w:pP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Wykres 1. Średnie ceny gruntów rolnych w Unii Europejskiej w latach 2005-2015 (euro/ha)</w:t>
      </w: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2625" cy="48600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951DE" w:rsidRPr="00917605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17605">
        <w:rPr>
          <w:rFonts w:ascii="Times New Roman" w:hAnsi="Times New Roman" w:cs="Times New Roman"/>
          <w:i/>
          <w:sz w:val="24"/>
          <w:szCs w:val="24"/>
        </w:rPr>
        <w:t>Źródło: opracowanie własne na podstawie tabeli 1.</w:t>
      </w:r>
    </w:p>
    <w:p w:rsidR="007951DE" w:rsidRDefault="007951DE" w:rsidP="007951DE">
      <w:pPr>
        <w:ind w:left="0"/>
      </w:pP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Wykres 2. Dynamika cen gruntów rolnych w Polsce w obrocie prywatnym oraz będących własnością Zasobu Własności Rolnej Skarbu Państwa w latach 2006-2015</w:t>
      </w: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000" cy="16287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51DE" w:rsidRDefault="007951DE" w:rsidP="007951DE">
      <w:pPr>
        <w:ind w:left="0"/>
        <w:rPr>
          <w:rFonts w:ascii="Times New Roman" w:hAnsi="Times New Roman" w:cs="Times New Roman"/>
          <w:i/>
          <w:sz w:val="24"/>
          <w:szCs w:val="24"/>
        </w:rPr>
      </w:pPr>
      <w:r w:rsidRPr="00917605">
        <w:rPr>
          <w:rFonts w:ascii="Times New Roman" w:hAnsi="Times New Roman" w:cs="Times New Roman"/>
          <w:i/>
          <w:sz w:val="24"/>
          <w:szCs w:val="24"/>
        </w:rPr>
        <w:t>Źródło: opracowanie własne na podstawie danych z tabeli 1.</w:t>
      </w:r>
    </w:p>
    <w:p w:rsidR="007951DE" w:rsidRDefault="007951DE" w:rsidP="007951DE">
      <w:pPr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951DE" w:rsidRDefault="007951DE" w:rsidP="007951DE">
      <w:pPr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Wykres 3. Transakcje kupna-sprzedaży gruntów rolnych w latach 2005-2015</w:t>
      </w:r>
    </w:p>
    <w:p w:rsidR="007951DE" w:rsidRDefault="007951DE" w:rsidP="007951DE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000" cy="13906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51DE" w:rsidRDefault="007951DE" w:rsidP="007951DE">
      <w:pPr>
        <w:ind w:left="0"/>
        <w:rPr>
          <w:rFonts w:ascii="Times New Roman" w:hAnsi="Times New Roman" w:cs="Times New Roman"/>
          <w:i/>
          <w:sz w:val="24"/>
          <w:szCs w:val="24"/>
        </w:rPr>
      </w:pPr>
      <w:r w:rsidRPr="00C2500C">
        <w:rPr>
          <w:rFonts w:ascii="Times New Roman" w:hAnsi="Times New Roman" w:cs="Times New Roman"/>
          <w:i/>
          <w:sz w:val="24"/>
          <w:szCs w:val="24"/>
        </w:rPr>
        <w:t xml:space="preserve">Źródło: opracowanie własne na podstawie A. Sikorska, Rynek Ziemi Rolniczej – stan i perspektywy, </w:t>
      </w:r>
      <w:proofErr w:type="spellStart"/>
      <w:r w:rsidRPr="00C2500C">
        <w:rPr>
          <w:rFonts w:ascii="Times New Roman" w:hAnsi="Times New Roman" w:cs="Times New Roman"/>
          <w:i/>
          <w:sz w:val="24"/>
          <w:szCs w:val="24"/>
        </w:rPr>
        <w:t>IERiGŻ</w:t>
      </w:r>
      <w:proofErr w:type="spellEnd"/>
      <w:r w:rsidRPr="00C2500C">
        <w:rPr>
          <w:rFonts w:ascii="Times New Roman" w:hAnsi="Times New Roman" w:cs="Times New Roman"/>
          <w:i/>
          <w:sz w:val="24"/>
          <w:szCs w:val="24"/>
        </w:rPr>
        <w:t xml:space="preserve"> – PIB, nr 19.</w:t>
      </w:r>
    </w:p>
    <w:p w:rsidR="007951DE" w:rsidRDefault="007951DE" w:rsidP="007951DE">
      <w:pPr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951DE" w:rsidRDefault="007951DE" w:rsidP="007951D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2. Badanie zależności pomiędzy średnim poziomem cen gruntów rolnych a analizowanymi zmiennymi za pomocą korelacji linowej Pearsona</w:t>
      </w:r>
    </w:p>
    <w:tbl>
      <w:tblPr>
        <w:tblW w:w="852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28"/>
        <w:gridCol w:w="4394"/>
      </w:tblGrid>
      <w:tr w:rsidR="007951DE" w:rsidRPr="0007408B" w:rsidTr="00200527">
        <w:trPr>
          <w:trHeight w:val="285"/>
        </w:trPr>
        <w:tc>
          <w:tcPr>
            <w:tcW w:w="41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</w:t>
            </w:r>
            <w:r w:rsidRPr="004E5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artość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korelacji</w:t>
            </w:r>
          </w:p>
        </w:tc>
      </w:tr>
      <w:tr w:rsidR="007951DE" w:rsidRPr="0007408B" w:rsidTr="00200527">
        <w:trPr>
          <w:trHeight w:val="285"/>
        </w:trPr>
        <w:tc>
          <w:tcPr>
            <w:tcW w:w="4128" w:type="dxa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średni poziom cen gruntów rolnych, </w:t>
            </w:r>
          </w:p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hAnsi="Times New Roman" w:cs="Times New Roman"/>
                <w:b/>
                <w:sz w:val="24"/>
                <w:szCs w:val="24"/>
              </w:rPr>
              <w:t>wartość produkcji przemysłu rolnego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0,844907</w:t>
            </w:r>
          </w:p>
        </w:tc>
      </w:tr>
      <w:tr w:rsidR="007951DE" w:rsidRPr="0007408B" w:rsidTr="00200527">
        <w:trPr>
          <w:trHeight w:val="285"/>
        </w:trPr>
        <w:tc>
          <w:tcPr>
            <w:tcW w:w="41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średni poziom cen gruntów rolnych, </w:t>
            </w:r>
          </w:p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hAnsi="Times New Roman" w:cs="Times New Roman"/>
                <w:b/>
                <w:sz w:val="24"/>
                <w:szCs w:val="24"/>
              </w:rPr>
              <w:t>wartość dopłat bezpośrednich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0,677146</w:t>
            </w:r>
          </w:p>
        </w:tc>
      </w:tr>
      <w:tr w:rsidR="007951DE" w:rsidRPr="0007408B" w:rsidTr="00200527">
        <w:trPr>
          <w:trHeight w:val="285"/>
        </w:trPr>
        <w:tc>
          <w:tcPr>
            <w:tcW w:w="4128" w:type="dxa"/>
            <w:tcBorders>
              <w:top w:val="single" w:sz="4" w:space="0" w:color="BFBFBF" w:themeColor="background1" w:themeShade="BF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średni poziom cen gruntów rolnych, </w:t>
            </w:r>
          </w:p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hAnsi="Times New Roman" w:cs="Times New Roman"/>
                <w:b/>
                <w:sz w:val="24"/>
                <w:szCs w:val="24"/>
              </w:rPr>
              <w:t>produkt krajowy brutto per capita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:rsidR="007951DE" w:rsidRPr="004E505C" w:rsidRDefault="007951DE" w:rsidP="0020052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5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0,630687</w:t>
            </w:r>
          </w:p>
        </w:tc>
      </w:tr>
    </w:tbl>
    <w:p w:rsidR="007951DE" w:rsidRDefault="007951DE" w:rsidP="007951DE">
      <w:pPr>
        <w:pStyle w:val="NormalnyWeb"/>
        <w:spacing w:before="240" w:beforeAutospacing="0" w:after="0" w:line="240" w:lineRule="auto"/>
        <w:jc w:val="both"/>
      </w:pPr>
      <w:r>
        <w:rPr>
          <w:i/>
        </w:rPr>
        <w:t>Źródło: opracowanie własne.</w:t>
      </w:r>
    </w:p>
    <w:p w:rsidR="007951DE" w:rsidRDefault="007951DE" w:rsidP="007951DE">
      <w:pPr>
        <w:ind w:left="0"/>
      </w:pPr>
    </w:p>
    <w:p w:rsidR="007951DE" w:rsidRDefault="007951DE" w:rsidP="007951DE">
      <w:pPr>
        <w:pStyle w:val="NormalnyWeb"/>
        <w:spacing w:beforeAutospacing="0" w:line="240" w:lineRule="auto"/>
        <w:jc w:val="both"/>
      </w:pPr>
      <w:r>
        <w:t>Tabela 3.  Wyniki estymowanej funkcji modelu liniowego</w:t>
      </w:r>
    </w:p>
    <w:tbl>
      <w:tblPr>
        <w:tblStyle w:val="Tabela-Siatka"/>
        <w:tblW w:w="8505" w:type="dxa"/>
        <w:tblInd w:w="108" w:type="dxa"/>
        <w:tblLayout w:type="fixed"/>
        <w:tblLook w:val="04A0"/>
      </w:tblPr>
      <w:tblGrid>
        <w:gridCol w:w="3402"/>
        <w:gridCol w:w="1134"/>
        <w:gridCol w:w="1276"/>
        <w:gridCol w:w="1418"/>
        <w:gridCol w:w="1275"/>
      </w:tblGrid>
      <w:tr w:rsidR="007951DE" w:rsidTr="00200527"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13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E179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E179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000000" w:themeColor="text1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3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Współczynniki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-2118,39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8" w:type="dxa"/>
            </w:tcMar>
          </w:tcPr>
          <w:p w:rsidR="007951DE" w:rsidRDefault="007951DE" w:rsidP="0020052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0,516879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0,219644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0,069209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Błąd standardowy wsp.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3297,539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8" w:type="dxa"/>
            </w:tcMar>
          </w:tcPr>
          <w:p w:rsidR="007951DE" w:rsidRDefault="007951DE" w:rsidP="0020052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0,272681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0,236177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0,111952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Współczynnik determinacji (R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7951DE" w:rsidRDefault="007951DE" w:rsidP="002005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0,753545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Współczynnik korelacji R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7951DE" w:rsidRDefault="007951DE" w:rsidP="002005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0,647922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Błąd standardowy modelu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7951DE" w:rsidRDefault="007951DE" w:rsidP="002005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785,2681</w:t>
            </w:r>
          </w:p>
        </w:tc>
      </w:tr>
      <w:tr w:rsidR="007951DE" w:rsidTr="00200527"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Statystyka F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7951DE" w:rsidRDefault="007951DE" w:rsidP="002005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7,134267</w:t>
            </w:r>
          </w:p>
        </w:tc>
      </w:tr>
      <w:tr w:rsidR="007951DE" w:rsidTr="00200527">
        <w:trPr>
          <w:trHeight w:val="444"/>
        </w:trPr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tcMar>
              <w:left w:w="108" w:type="dxa"/>
            </w:tcMar>
            <w:vAlign w:val="center"/>
          </w:tcPr>
          <w:p w:rsidR="007951DE" w:rsidRDefault="007951DE" w:rsidP="00200527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Funkcja </w:t>
            </w:r>
          </w:p>
        </w:tc>
        <w:tc>
          <w:tcPr>
            <w:tcW w:w="51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nil"/>
            </w:tcBorders>
          </w:tcPr>
          <w:p w:rsidR="007951DE" w:rsidRPr="004E505C" w:rsidRDefault="007951DE" w:rsidP="0020052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Y=</w:t>
            </w:r>
            <w:r w:rsidRPr="00E1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-2118,39+</w:t>
            </w:r>
            <w:r w:rsidRPr="00E1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0,516879x</w:t>
            </w:r>
            <w:r w:rsidRPr="00E179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1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0,219644x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1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0,069209x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+ε</w:t>
            </w:r>
          </w:p>
        </w:tc>
      </w:tr>
    </w:tbl>
    <w:p w:rsidR="007951DE" w:rsidRDefault="007951DE" w:rsidP="007951DE">
      <w:pPr>
        <w:pStyle w:val="NormalnyWeb"/>
        <w:spacing w:before="240" w:beforeAutospacing="0" w:after="0" w:line="240" w:lineRule="auto"/>
        <w:jc w:val="both"/>
        <w:rPr>
          <w:i/>
        </w:rPr>
      </w:pPr>
      <w:r>
        <w:rPr>
          <w:i/>
        </w:rPr>
        <w:t>Źródło: opracowanie własne.</w:t>
      </w:r>
    </w:p>
    <w:p w:rsidR="007951DE" w:rsidRDefault="007951DE" w:rsidP="007951DE">
      <w:pPr>
        <w:ind w:left="0"/>
      </w:pPr>
    </w:p>
    <w:sectPr w:rsidR="007951DE" w:rsidSect="00CC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1DE"/>
    <w:rsid w:val="007951DE"/>
    <w:rsid w:val="009F3EB4"/>
    <w:rsid w:val="00C41D17"/>
    <w:rsid w:val="00CC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1D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951DE"/>
    <w:pPr>
      <w:suppressAutoHyphens/>
      <w:spacing w:beforeAutospacing="1" w:after="142" w:line="288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5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7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Pt>
            <c:idx val="8"/>
            <c:spPr>
              <a:solidFill>
                <a:srgbClr val="FF0000"/>
              </a:solidFill>
            </c:spPr>
          </c:dPt>
          <c:dPt>
            <c:idx val="15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2.6298487836949407E-3"/>
                </c:manualLayout>
              </c:layout>
              <c:dLblPos val="outEnd"/>
              <c:showVal val="1"/>
            </c:dLbl>
            <c:dLbl>
              <c:idx val="25"/>
              <c:layout>
                <c:manualLayout>
                  <c:x val="-2.6229508196721391E-2"/>
                  <c:y val="3.9447731755424237E-2"/>
                </c:manualLayout>
              </c:layout>
              <c:dLblPos val="outEnd"/>
              <c:showVal val="1"/>
            </c:dLbl>
            <c:txPr>
              <a:bodyPr rot="0" vert="horz"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outEnd"/>
            <c:showVal val="1"/>
          </c:dLbls>
          <c:cat>
            <c:strRef>
              <c:f>Arkusz1!$A$2:$A$27</c:f>
              <c:strCache>
                <c:ptCount val="26"/>
                <c:pt idx="0">
                  <c:v>Estonia</c:v>
                </c:pt>
                <c:pt idx="1">
                  <c:v>Litwa</c:v>
                </c:pt>
                <c:pt idx="2">
                  <c:v>Łotwa</c:v>
                </c:pt>
                <c:pt idx="3">
                  <c:v>Bułgaria</c:v>
                </c:pt>
                <c:pt idx="4">
                  <c:v>Węgry</c:v>
                </c:pt>
                <c:pt idx="5">
                  <c:v>Słowacja</c:v>
                </c:pt>
                <c:pt idx="6">
                  <c:v>Rumunia</c:v>
                </c:pt>
                <c:pt idx="7">
                  <c:v>Czechy</c:v>
                </c:pt>
                <c:pt idx="8">
                  <c:v>Polska</c:v>
                </c:pt>
                <c:pt idx="9">
                  <c:v>Szwecja</c:v>
                </c:pt>
                <c:pt idx="10">
                  <c:v>Grecja</c:v>
                </c:pt>
                <c:pt idx="11">
                  <c:v>Francja</c:v>
                </c:pt>
                <c:pt idx="12">
                  <c:v>Finlandia</c:v>
                </c:pt>
                <c:pt idx="13">
                  <c:v>Hiszpania</c:v>
                </c:pt>
                <c:pt idx="14">
                  <c:v>Portugalia</c:v>
                </c:pt>
                <c:pt idx="15">
                  <c:v>Średnia unijna</c:v>
                </c:pt>
                <c:pt idx="16">
                  <c:v>Niemcy</c:v>
                </c:pt>
                <c:pt idx="17">
                  <c:v>Słowenia</c:v>
                </c:pt>
                <c:pt idx="18">
                  <c:v>W. Brytania</c:v>
                </c:pt>
                <c:pt idx="19">
                  <c:v>Włochy</c:v>
                </c:pt>
                <c:pt idx="20">
                  <c:v>Luksemburg</c:v>
                </c:pt>
                <c:pt idx="21">
                  <c:v>Dania</c:v>
                </c:pt>
                <c:pt idx="22">
                  <c:v>Belgia</c:v>
                </c:pt>
                <c:pt idx="23">
                  <c:v>Irlandia</c:v>
                </c:pt>
                <c:pt idx="24">
                  <c:v>Holandia</c:v>
                </c:pt>
                <c:pt idx="25">
                  <c:v>Malta</c:v>
                </c:pt>
              </c:strCache>
            </c:strRef>
          </c:cat>
          <c:val>
            <c:numRef>
              <c:f>Arkusz1!$B$2:$B$27</c:f>
              <c:numCache>
                <c:formatCode>0</c:formatCode>
                <c:ptCount val="26"/>
                <c:pt idx="0">
                  <c:v>1311.7272727272766</c:v>
                </c:pt>
                <c:pt idx="1">
                  <c:v>1455.4545454545455</c:v>
                </c:pt>
                <c:pt idx="2">
                  <c:v>1622.3636363636358</c:v>
                </c:pt>
                <c:pt idx="3">
                  <c:v>2084.818181818182</c:v>
                </c:pt>
                <c:pt idx="4">
                  <c:v>2137.7272727272707</c:v>
                </c:pt>
                <c:pt idx="5">
                  <c:v>2173.4545454545455</c:v>
                </c:pt>
                <c:pt idx="6">
                  <c:v>2320.818181818182</c:v>
                </c:pt>
                <c:pt idx="7">
                  <c:v>3248.4545454545455</c:v>
                </c:pt>
                <c:pt idx="8">
                  <c:v>4482.454545454545</c:v>
                </c:pt>
                <c:pt idx="9">
                  <c:v>4856.3</c:v>
                </c:pt>
                <c:pt idx="10">
                  <c:v>4970</c:v>
                </c:pt>
                <c:pt idx="11">
                  <c:v>5235.454545454545</c:v>
                </c:pt>
                <c:pt idx="12">
                  <c:v>7062.3636363636597</c:v>
                </c:pt>
                <c:pt idx="13">
                  <c:v>10074.272727272759</c:v>
                </c:pt>
                <c:pt idx="14">
                  <c:v>10317.25</c:v>
                </c:pt>
                <c:pt idx="15">
                  <c:v>11536.870217990167</c:v>
                </c:pt>
                <c:pt idx="16">
                  <c:v>12863.454545454546</c:v>
                </c:pt>
                <c:pt idx="17">
                  <c:v>16026</c:v>
                </c:pt>
                <c:pt idx="18">
                  <c:v>16582.727272727279</c:v>
                </c:pt>
                <c:pt idx="19">
                  <c:v>18354.400000000001</c:v>
                </c:pt>
                <c:pt idx="20">
                  <c:v>20959</c:v>
                </c:pt>
                <c:pt idx="21">
                  <c:v>23453.81818181818</c:v>
                </c:pt>
                <c:pt idx="22">
                  <c:v>27707.909090909099</c:v>
                </c:pt>
                <c:pt idx="23">
                  <c:v>32684.090909090897</c:v>
                </c:pt>
                <c:pt idx="24">
                  <c:v>43618.545454545456</c:v>
                </c:pt>
                <c:pt idx="25">
                  <c:v>129983.54545454548</c:v>
                </c:pt>
              </c:numCache>
            </c:numRef>
          </c:val>
        </c:ser>
        <c:axId val="93845760"/>
        <c:axId val="93859840"/>
      </c:barChart>
      <c:catAx>
        <c:axId val="93845760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3859840"/>
        <c:crosses val="autoZero"/>
        <c:auto val="1"/>
        <c:lblAlgn val="ctr"/>
        <c:lblOffset val="100"/>
      </c:catAx>
      <c:valAx>
        <c:axId val="93859840"/>
        <c:scaling>
          <c:orientation val="minMax"/>
          <c:max val="130000"/>
          <c:min val="0"/>
        </c:scaling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38457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"/>
  <c:chart>
    <c:plotArea>
      <c:layout/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Sektor prywatny</c:v>
                </c:pt>
              </c:strCache>
            </c:strRef>
          </c:tx>
          <c:marker>
            <c:symbol val="none"/>
          </c:marker>
          <c:cat>
            <c:numRef>
              <c:f>Arkusz1!$A$2:$A$11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113.28273244781784</c:v>
                </c:pt>
                <c:pt idx="1">
                  <c:v>133.96147403685092</c:v>
                </c:pt>
                <c:pt idx="2">
                  <c:v>136.88652703970001</c:v>
                </c:pt>
                <c:pt idx="3">
                  <c:v>90.089061429550128</c:v>
                </c:pt>
                <c:pt idx="4">
                  <c:v>114.44866920152113</c:v>
                </c:pt>
                <c:pt idx="5">
                  <c:v>107.53045404208171</c:v>
                </c:pt>
                <c:pt idx="6">
                  <c:v>125.23171987641607</c:v>
                </c:pt>
                <c:pt idx="7">
                  <c:v>103.20723684210526</c:v>
                </c:pt>
                <c:pt idx="8">
                  <c:v>123.0597609561753</c:v>
                </c:pt>
                <c:pt idx="9">
                  <c:v>119.41206941206941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ANR</c:v>
                </c:pt>
              </c:strCache>
            </c:strRef>
          </c:tx>
          <c:marker>
            <c:symbol val="none"/>
          </c:marker>
          <c:cat>
            <c:numRef>
              <c:f>Arkusz1!$A$2:$A$11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Arkusz1!$C$2:$C$11</c:f>
              <c:numCache>
                <c:formatCode>General</c:formatCode>
                <c:ptCount val="10"/>
                <c:pt idx="0">
                  <c:v>130.19257221458003</c:v>
                </c:pt>
                <c:pt idx="1">
                  <c:v>136.45007923930226</c:v>
                </c:pt>
                <c:pt idx="2">
                  <c:v>138.0565234223771</c:v>
                </c:pt>
                <c:pt idx="3">
                  <c:v>96.775098149186348</c:v>
                </c:pt>
                <c:pt idx="4">
                  <c:v>110.83743842364531</c:v>
                </c:pt>
                <c:pt idx="5">
                  <c:v>108.91503267973857</c:v>
                </c:pt>
                <c:pt idx="6">
                  <c:v>110.63370139222236</c:v>
                </c:pt>
                <c:pt idx="7">
                  <c:v>112.75764807984379</c:v>
                </c:pt>
                <c:pt idx="8">
                  <c:v>117.664036944391</c:v>
                </c:pt>
                <c:pt idx="9">
                  <c:v>115.48650858544562</c:v>
                </c:pt>
              </c:numCache>
            </c:numRef>
          </c:val>
        </c:ser>
        <c:marker val="1"/>
        <c:axId val="93998464"/>
        <c:axId val="94000256"/>
      </c:lineChart>
      <c:catAx>
        <c:axId val="939984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4000256"/>
        <c:crosses val="autoZero"/>
        <c:auto val="1"/>
        <c:lblAlgn val="ctr"/>
        <c:lblOffset val="100"/>
      </c:catAx>
      <c:valAx>
        <c:axId val="94000256"/>
        <c:scaling>
          <c:orientation val="minMax"/>
          <c:max val="140"/>
          <c:min val="9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3998464"/>
        <c:crosses val="autoZero"/>
        <c:crossBetween val="between"/>
      </c:valAx>
    </c:plotArea>
    <c:legend>
      <c:legendPos val="b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3246449801393359"/>
          <c:y val="6.3756459206392571E-2"/>
          <c:w val="0.83903239996463996"/>
          <c:h val="0.74972146509361071"/>
        </c:manualLayout>
      </c:layout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Liczba transakcji ziemii na 1000 gospodarstw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Arkusz1!$B$2:$B$12</c:f>
              <c:numCache>
                <c:formatCode>General</c:formatCode>
                <c:ptCount val="11"/>
                <c:pt idx="0">
                  <c:v>42.89</c:v>
                </c:pt>
                <c:pt idx="1">
                  <c:v>47.160000000000011</c:v>
                </c:pt>
                <c:pt idx="2">
                  <c:v>53</c:v>
                </c:pt>
                <c:pt idx="3">
                  <c:v>50.14</c:v>
                </c:pt>
                <c:pt idx="4">
                  <c:v>43.81</c:v>
                </c:pt>
                <c:pt idx="5">
                  <c:v>45.75</c:v>
                </c:pt>
                <c:pt idx="6">
                  <c:v>56.8</c:v>
                </c:pt>
                <c:pt idx="7">
                  <c:v>56.5</c:v>
                </c:pt>
                <c:pt idx="8">
                  <c:v>58.290000000000013</c:v>
                </c:pt>
                <c:pt idx="9">
                  <c:v>54.03</c:v>
                </c:pt>
                <c:pt idx="10">
                  <c:v>66.679999999999978</c:v>
                </c:pt>
              </c:numCache>
            </c:numRef>
          </c:val>
        </c:ser>
        <c:marker val="1"/>
        <c:axId val="94011776"/>
        <c:axId val="94013312"/>
      </c:lineChart>
      <c:catAx>
        <c:axId val="94011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4013312"/>
        <c:crosses val="autoZero"/>
        <c:auto val="1"/>
        <c:lblAlgn val="ctr"/>
        <c:lblOffset val="100"/>
      </c:catAx>
      <c:valAx>
        <c:axId val="94013312"/>
        <c:scaling>
          <c:orientation val="minMax"/>
          <c:min val="40"/>
        </c:scaling>
        <c:axPos val="l"/>
        <c:majorGridlines/>
        <c:title>
          <c:tx>
            <c:rich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 b="0" i="0" baseline="0">
                    <a:latin typeface="Times New Roman" pitchFamily="18" charset="0"/>
                    <a:cs typeface="Times New Roman" pitchFamily="18" charset="0"/>
                  </a:rPr>
                  <a:t>Liczba transakcji ziemii na 1000 gospodarstw</a:t>
                </a:r>
                <a:endParaRPr lang="pl-PL" sz="900" b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40117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2</cp:revision>
  <dcterms:created xsi:type="dcterms:W3CDTF">2017-09-16T09:09:00Z</dcterms:created>
  <dcterms:modified xsi:type="dcterms:W3CDTF">2017-09-16T09:12:00Z</dcterms:modified>
</cp:coreProperties>
</file>