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32A" w:rsidRDefault="009A432A" w:rsidP="009A432A">
      <w:pPr>
        <w:pStyle w:val="Legenda"/>
        <w:spacing w:after="0" w:line="360" w:lineRule="auto"/>
        <w:jc w:val="both"/>
        <w:rPr>
          <w:rFonts w:ascii="Times New Roman"/>
          <w:b/>
          <w:i w:val="0"/>
          <w:color w:val="auto"/>
          <w:sz w:val="24"/>
          <w:szCs w:val="24"/>
        </w:rPr>
      </w:pPr>
      <w:r w:rsidRPr="00B3293B">
        <w:rPr>
          <w:rFonts w:ascii="Times New Roman"/>
          <w:b/>
          <w:i w:val="0"/>
          <w:color w:val="auto"/>
          <w:sz w:val="24"/>
          <w:szCs w:val="24"/>
        </w:rPr>
        <w:t xml:space="preserve">Tabela </w:t>
      </w:r>
      <w:r w:rsidRPr="00B3293B">
        <w:rPr>
          <w:rFonts w:ascii="Times New Roman"/>
          <w:b/>
          <w:i w:val="0"/>
          <w:color w:val="auto"/>
          <w:sz w:val="24"/>
          <w:szCs w:val="24"/>
        </w:rPr>
        <w:fldChar w:fldCharType="begin"/>
      </w:r>
      <w:r w:rsidRPr="00B3293B">
        <w:rPr>
          <w:rFonts w:ascii="Times New Roman"/>
          <w:b/>
          <w:i w:val="0"/>
          <w:color w:val="auto"/>
          <w:sz w:val="24"/>
          <w:szCs w:val="24"/>
        </w:rPr>
        <w:instrText xml:space="preserve"> SEQ Tabela \* ARABIC </w:instrText>
      </w:r>
      <w:r w:rsidRPr="00B3293B">
        <w:rPr>
          <w:rFonts w:ascii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/>
          <w:b/>
          <w:i w:val="0"/>
          <w:noProof/>
          <w:color w:val="auto"/>
          <w:sz w:val="24"/>
          <w:szCs w:val="24"/>
        </w:rPr>
        <w:t>3</w:t>
      </w:r>
      <w:r w:rsidRPr="00B3293B">
        <w:rPr>
          <w:rFonts w:ascii="Times New Roman"/>
          <w:b/>
          <w:i w:val="0"/>
          <w:color w:val="auto"/>
          <w:sz w:val="24"/>
          <w:szCs w:val="24"/>
        </w:rPr>
        <w:fldChar w:fldCharType="end"/>
      </w:r>
      <w:r w:rsidRPr="00B3293B">
        <w:rPr>
          <w:rFonts w:ascii="Times New Roman"/>
          <w:b/>
          <w:i w:val="0"/>
          <w:color w:val="auto"/>
          <w:sz w:val="24"/>
          <w:szCs w:val="24"/>
        </w:rPr>
        <w:t>: Wskaźniki wykorzystane do oceny poziomu zrównoważonego rozwoju obszarów metropolitalnych w Polsce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32A" w:rsidRPr="005B11C9" w:rsidTr="002C453E">
        <w:tc>
          <w:tcPr>
            <w:tcW w:w="9062" w:type="dxa"/>
          </w:tcPr>
          <w:p w:rsidR="009A432A" w:rsidRPr="005B11C9" w:rsidRDefault="009A432A" w:rsidP="002C453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B11C9">
              <w:rPr>
                <w:rFonts w:ascii="Times New Roman"/>
                <w:b/>
                <w:sz w:val="20"/>
                <w:szCs w:val="20"/>
              </w:rPr>
              <w:t>Aspekt ekonomiczny</w:t>
            </w:r>
          </w:p>
        </w:tc>
      </w:tr>
      <w:tr w:rsidR="009A432A" w:rsidRPr="005B11C9" w:rsidTr="002C453E">
        <w:tc>
          <w:tcPr>
            <w:tcW w:w="9062" w:type="dxa"/>
          </w:tcPr>
          <w:p w:rsidR="009A432A" w:rsidRPr="005B11C9" w:rsidRDefault="009A432A" w:rsidP="002C453E">
            <w:pPr>
              <w:jc w:val="both"/>
              <w:rPr>
                <w:rFonts w:ascii="Times New Roman"/>
                <w:sz w:val="20"/>
                <w:szCs w:val="20"/>
              </w:rPr>
            </w:pPr>
            <w:r w:rsidRPr="00440C1E">
              <w:rPr>
                <w:rFonts w:ascii="Times New Roman"/>
                <w:b/>
                <w:sz w:val="20"/>
                <w:szCs w:val="20"/>
              </w:rPr>
              <w:t>G01</w:t>
            </w:r>
            <w:r>
              <w:rPr>
                <w:rFonts w:ascii="Times New Roman"/>
                <w:sz w:val="20"/>
                <w:szCs w:val="20"/>
              </w:rPr>
              <w:t xml:space="preserve"> – dochody ogółem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G02</w:t>
            </w:r>
            <w:r>
              <w:rPr>
                <w:rFonts w:ascii="Times New Roman"/>
                <w:sz w:val="20"/>
                <w:szCs w:val="20"/>
              </w:rPr>
              <w:t xml:space="preserve"> – wydatki majątkowe inwestycyjne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G03</w:t>
            </w:r>
            <w:r>
              <w:rPr>
                <w:rFonts w:ascii="Times New Roman"/>
                <w:sz w:val="20"/>
                <w:szCs w:val="20"/>
              </w:rPr>
              <w:t xml:space="preserve"> – udział dochodów własnych gminy w dochodach budżetowych ogółem;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G04</w:t>
            </w:r>
            <w:r>
              <w:rPr>
                <w:rFonts w:ascii="Times New Roman"/>
                <w:sz w:val="20"/>
                <w:szCs w:val="20"/>
              </w:rPr>
              <w:t xml:space="preserve"> – relacja wydatków ogółem do dochodów ogółem;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G05</w:t>
            </w:r>
            <w:r>
              <w:rPr>
                <w:rFonts w:ascii="Times New Roman"/>
                <w:sz w:val="20"/>
                <w:szCs w:val="20"/>
              </w:rPr>
              <w:t xml:space="preserve"> – wydatki na obsługę długu publicznego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G06</w:t>
            </w:r>
            <w:r>
              <w:rPr>
                <w:rFonts w:ascii="Times New Roman"/>
                <w:sz w:val="20"/>
                <w:szCs w:val="20"/>
              </w:rPr>
              <w:t xml:space="preserve"> – udział wydatków na drogi publiczne w wydatkach ogółem;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G07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wydatki na transport i łączność na 1 mieszk.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G08</w:t>
            </w:r>
            <w:r>
              <w:rPr>
                <w:rFonts w:ascii="Times New Roman"/>
                <w:sz w:val="20"/>
                <w:szCs w:val="20"/>
              </w:rPr>
              <w:t xml:space="preserve"> – wydatki na gosp. mieszkaniową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G09</w:t>
            </w:r>
            <w:r>
              <w:rPr>
                <w:rFonts w:ascii="Times New Roman"/>
                <w:sz w:val="20"/>
                <w:szCs w:val="20"/>
              </w:rPr>
              <w:t xml:space="preserve"> – nakłady inwestycyjne przedsiębiorstw w przeliczeniu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G10</w:t>
            </w:r>
            <w:r>
              <w:rPr>
                <w:rFonts w:ascii="Times New Roman"/>
                <w:sz w:val="20"/>
                <w:szCs w:val="20"/>
              </w:rPr>
              <w:t xml:space="preserve"> – przeciętne miesięczne wynagrodzenie brutto;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G11</w:t>
            </w:r>
            <w:r>
              <w:rPr>
                <w:rFonts w:ascii="Times New Roman"/>
                <w:sz w:val="20"/>
                <w:szCs w:val="20"/>
              </w:rPr>
              <w:t xml:space="preserve"> – przeciętne miesięczne wynagrodzenie brutto w relacji do średniej krajowej;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G12</w:t>
            </w:r>
            <w:r>
              <w:rPr>
                <w:rFonts w:ascii="Times New Roman"/>
                <w:sz w:val="20"/>
                <w:szCs w:val="20"/>
              </w:rPr>
              <w:t xml:space="preserve"> – pracujący na 1 000 mieszk. w wieku produkcyjnym;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G13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odsetek pracujących w handlu i usługach w pracujących ogółem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G14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stopa bezrobocia rejestrowanego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G15</w:t>
            </w:r>
            <w:r>
              <w:rPr>
                <w:rFonts w:ascii="Times New Roman"/>
                <w:sz w:val="20"/>
                <w:szCs w:val="20"/>
              </w:rPr>
              <w:t xml:space="preserve"> – udział liczby bezrobotnych pozostających bez pracy dłużej niż 1 rok w liczbie bezrobotnych ogółem;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G16</w:t>
            </w:r>
            <w:r>
              <w:rPr>
                <w:rFonts w:ascii="Times New Roman"/>
                <w:sz w:val="20"/>
                <w:szCs w:val="20"/>
              </w:rPr>
              <w:t xml:space="preserve"> – odsetek bezrobotnych z wyższym wykształceniem;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G17</w:t>
            </w:r>
            <w:r>
              <w:rPr>
                <w:rFonts w:ascii="Times New Roman"/>
                <w:sz w:val="20"/>
                <w:szCs w:val="20"/>
              </w:rPr>
              <w:t xml:space="preserve"> – relacja liczby pracujących kobiet do liczby pracujących mężczyzn;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G18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liczba podmiotów wpisanych do rejestru REGON na 10 000 mieszk.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G19</w:t>
            </w:r>
            <w:r>
              <w:rPr>
                <w:rFonts w:ascii="Times New Roman"/>
                <w:sz w:val="20"/>
                <w:szCs w:val="20"/>
              </w:rPr>
              <w:t xml:space="preserve"> – liczba jednostek nowo zarejestrowanych w rejestrze REGON na 10 000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G20</w:t>
            </w:r>
            <w:r>
              <w:rPr>
                <w:rFonts w:ascii="Times New Roman"/>
                <w:sz w:val="20"/>
                <w:szCs w:val="20"/>
              </w:rPr>
              <w:t xml:space="preserve"> – osoby fizyczne prowadzące działalność gospodarczą na 1 000 mieszkańców;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G21</w:t>
            </w:r>
            <w:r>
              <w:rPr>
                <w:rFonts w:ascii="Times New Roman"/>
                <w:sz w:val="20"/>
                <w:szCs w:val="20"/>
              </w:rPr>
              <w:t xml:space="preserve"> – wyrejestrowane z rejestru REGON podmioty prywatne na 10 000 mieszkańców;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G22</w:t>
            </w:r>
            <w:r>
              <w:rPr>
                <w:rFonts w:ascii="Times New Roman"/>
                <w:sz w:val="20"/>
                <w:szCs w:val="20"/>
              </w:rPr>
              <w:t xml:space="preserve"> – relacja liczby podmiotów prywatnych wpisanych do rejestru REGON do liczby podmiotów wypisanych z tego rejestru</w:t>
            </w:r>
          </w:p>
        </w:tc>
      </w:tr>
      <w:tr w:rsidR="009A432A" w:rsidRPr="005B11C9" w:rsidTr="002C453E">
        <w:tc>
          <w:tcPr>
            <w:tcW w:w="9062" w:type="dxa"/>
          </w:tcPr>
          <w:p w:rsidR="009A432A" w:rsidRPr="005B11C9" w:rsidRDefault="009A432A" w:rsidP="002C453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B11C9">
              <w:rPr>
                <w:rFonts w:ascii="Times New Roman"/>
                <w:b/>
                <w:sz w:val="20"/>
                <w:szCs w:val="20"/>
              </w:rPr>
              <w:t>Aspekt społeczny</w:t>
            </w:r>
          </w:p>
        </w:tc>
      </w:tr>
      <w:tr w:rsidR="009A432A" w:rsidRPr="005B11C9" w:rsidTr="002C453E">
        <w:tc>
          <w:tcPr>
            <w:tcW w:w="9062" w:type="dxa"/>
          </w:tcPr>
          <w:p w:rsidR="009A432A" w:rsidRPr="005B11C9" w:rsidRDefault="009A432A" w:rsidP="002C453E">
            <w:pPr>
              <w:jc w:val="both"/>
              <w:rPr>
                <w:rFonts w:ascii="Times New Roman"/>
                <w:sz w:val="20"/>
                <w:szCs w:val="20"/>
              </w:rPr>
            </w:pPr>
            <w:r w:rsidRPr="00440C1E">
              <w:rPr>
                <w:rFonts w:ascii="Times New Roman"/>
                <w:b/>
                <w:sz w:val="20"/>
                <w:szCs w:val="20"/>
              </w:rPr>
              <w:t>S01</w:t>
            </w:r>
            <w:r>
              <w:rPr>
                <w:rFonts w:ascii="Times New Roman"/>
                <w:sz w:val="20"/>
                <w:szCs w:val="20"/>
              </w:rPr>
              <w:t xml:space="preserve"> – gęstość zaludnienia;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S02</w:t>
            </w:r>
            <w:r>
              <w:rPr>
                <w:rFonts w:ascii="Times New Roman"/>
                <w:sz w:val="20"/>
                <w:szCs w:val="20"/>
              </w:rPr>
              <w:t xml:space="preserve"> – saldo migracji ogółem;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S03</w:t>
            </w:r>
            <w:r>
              <w:rPr>
                <w:rFonts w:ascii="Times New Roman"/>
                <w:sz w:val="20"/>
                <w:szCs w:val="20"/>
              </w:rPr>
              <w:t xml:space="preserve"> – przyrost naturalny;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S04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wskaźnik obciążenia demograficznego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S05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współczynnik feminizacji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S06</w:t>
            </w:r>
            <w:r>
              <w:rPr>
                <w:rFonts w:ascii="Times New Roman"/>
                <w:sz w:val="20"/>
                <w:szCs w:val="20"/>
              </w:rPr>
              <w:t xml:space="preserve"> – małżeństwa na 10 000 osób;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S07</w:t>
            </w:r>
            <w:r>
              <w:rPr>
                <w:rFonts w:ascii="Times New Roman"/>
                <w:sz w:val="20"/>
                <w:szCs w:val="20"/>
              </w:rPr>
              <w:t xml:space="preserve"> – wydatki na ochronę zdrowia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S08</w:t>
            </w:r>
            <w:r>
              <w:rPr>
                <w:rFonts w:ascii="Times New Roman"/>
                <w:sz w:val="20"/>
                <w:szCs w:val="20"/>
              </w:rPr>
              <w:t xml:space="preserve"> – porady lekarskie na 10 000 mieszk.;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S09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odsetek zgonów spowodowanych nowotworami i chorobami układu krążenia w liczbie zgonów ogółem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S10</w:t>
            </w:r>
            <w:r>
              <w:rPr>
                <w:rFonts w:ascii="Times New Roman"/>
                <w:sz w:val="20"/>
                <w:szCs w:val="20"/>
              </w:rPr>
              <w:t xml:space="preserve"> – wydatki na pomoc społeczną na 1 mieszk.;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S11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udział liczby osób korzystających z pomocy społecznej w liczbie ludności ogółem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S12</w:t>
            </w:r>
            <w:r>
              <w:rPr>
                <w:rFonts w:ascii="Times New Roman"/>
                <w:sz w:val="20"/>
                <w:szCs w:val="20"/>
              </w:rPr>
              <w:t xml:space="preserve"> – wysokość świadczeń rodzinnych w przeliczeniu na 1 dziecko, na które rodzice otrzymują zasiłek rodzinny;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S13</w:t>
            </w:r>
            <w:r>
              <w:rPr>
                <w:rFonts w:ascii="Times New Roman"/>
                <w:sz w:val="20"/>
                <w:szCs w:val="20"/>
              </w:rPr>
              <w:t xml:space="preserve"> – wydatki na kulturę i ochronę dziedzictwa kulturowego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S14</w:t>
            </w:r>
            <w:r>
              <w:rPr>
                <w:rFonts w:ascii="Times New Roman"/>
                <w:sz w:val="20"/>
                <w:szCs w:val="20"/>
              </w:rPr>
              <w:t xml:space="preserve"> – wydatki na sport i kulturę fizyczną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S15</w:t>
            </w:r>
            <w:r>
              <w:rPr>
                <w:rFonts w:ascii="Times New Roman"/>
                <w:sz w:val="20"/>
                <w:szCs w:val="20"/>
              </w:rPr>
              <w:t xml:space="preserve"> – wydatki na oświatę i  wychowanie na 1 mieszkańca;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S16</w:t>
            </w:r>
            <w:r>
              <w:rPr>
                <w:rFonts w:ascii="Times New Roman"/>
                <w:sz w:val="20"/>
                <w:szCs w:val="20"/>
              </w:rPr>
              <w:t xml:space="preserve"> – współczynnik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skolaryzacji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netto – szkoły podstawowe;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S17</w:t>
            </w:r>
            <w:r>
              <w:rPr>
                <w:rFonts w:ascii="Times New Roman"/>
                <w:sz w:val="20"/>
                <w:szCs w:val="20"/>
              </w:rPr>
              <w:t xml:space="preserve"> współczynnik </w:t>
            </w:r>
            <w:proofErr w:type="spellStart"/>
            <w:r>
              <w:rPr>
                <w:rFonts w:ascii="Times New Roman"/>
                <w:sz w:val="20"/>
                <w:szCs w:val="20"/>
              </w:rPr>
              <w:t>skolaryzacji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– gimnazja;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S18</w:t>
            </w:r>
            <w:r>
              <w:rPr>
                <w:rFonts w:ascii="Times New Roman"/>
                <w:sz w:val="20"/>
                <w:szCs w:val="20"/>
              </w:rPr>
              <w:t xml:space="preserve"> – zużycie energii elektrycznej na niskim napięciu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S19</w:t>
            </w:r>
            <w:r>
              <w:rPr>
                <w:rFonts w:ascii="Times New Roman"/>
                <w:sz w:val="20"/>
                <w:szCs w:val="20"/>
              </w:rPr>
              <w:t xml:space="preserve"> – samochody osobowe na 1 000 mieszk.; </w:t>
            </w:r>
            <w:r w:rsidRPr="00440C1E">
              <w:rPr>
                <w:rFonts w:ascii="Times New Roman"/>
                <w:b/>
                <w:i/>
                <w:sz w:val="20"/>
                <w:szCs w:val="20"/>
              </w:rPr>
              <w:t>S20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wypadki drogowe na 100 000 mieszk.</w:t>
            </w:r>
            <w:r>
              <w:rPr>
                <w:rFonts w:ascii="Times New Roman"/>
                <w:sz w:val="20"/>
                <w:szCs w:val="20"/>
              </w:rPr>
              <w:t xml:space="preserve">,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S21</w:t>
            </w:r>
            <w:r>
              <w:rPr>
                <w:rFonts w:ascii="Times New Roman"/>
                <w:sz w:val="20"/>
                <w:szCs w:val="20"/>
              </w:rPr>
              <w:t xml:space="preserve"> – ofiary śmiertelne wypadków drogowych na 100 000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S22</w:t>
            </w:r>
            <w:r>
              <w:rPr>
                <w:rFonts w:ascii="Times New Roman"/>
                <w:sz w:val="20"/>
                <w:szCs w:val="20"/>
              </w:rPr>
              <w:t xml:space="preserve"> – wypadki w pracy ogółem na 10 000 mieszk.; </w:t>
            </w:r>
          </w:p>
        </w:tc>
      </w:tr>
      <w:tr w:rsidR="009A432A" w:rsidRPr="005B11C9" w:rsidTr="002C453E">
        <w:tc>
          <w:tcPr>
            <w:tcW w:w="9062" w:type="dxa"/>
          </w:tcPr>
          <w:p w:rsidR="009A432A" w:rsidRPr="005B11C9" w:rsidRDefault="009A432A" w:rsidP="002C453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B11C9">
              <w:rPr>
                <w:rFonts w:ascii="Times New Roman"/>
                <w:b/>
                <w:sz w:val="20"/>
                <w:szCs w:val="20"/>
              </w:rPr>
              <w:t>Aspekt ekologiczny</w:t>
            </w:r>
          </w:p>
        </w:tc>
      </w:tr>
      <w:tr w:rsidR="009A432A" w:rsidRPr="005B11C9" w:rsidTr="002C453E">
        <w:tc>
          <w:tcPr>
            <w:tcW w:w="9062" w:type="dxa"/>
          </w:tcPr>
          <w:p w:rsidR="009A432A" w:rsidRPr="00771F05" w:rsidRDefault="009A432A" w:rsidP="002C453E">
            <w:pPr>
              <w:jc w:val="both"/>
              <w:rPr>
                <w:rFonts w:ascii="Times New Roman"/>
                <w:sz w:val="20"/>
                <w:szCs w:val="20"/>
              </w:rPr>
            </w:pPr>
            <w:r w:rsidRPr="00440C1E">
              <w:rPr>
                <w:rFonts w:ascii="Times New Roman"/>
                <w:b/>
                <w:sz w:val="20"/>
                <w:szCs w:val="20"/>
              </w:rPr>
              <w:t>E01</w:t>
            </w:r>
            <w:r>
              <w:rPr>
                <w:rFonts w:ascii="Times New Roman"/>
                <w:sz w:val="20"/>
                <w:szCs w:val="20"/>
              </w:rPr>
              <w:t xml:space="preserve"> – wydatki na gospodarkę komunalną i ochronę środowiska na 1 mieszk.; </w:t>
            </w:r>
            <w:r w:rsidRPr="00440C1E">
              <w:rPr>
                <w:rFonts w:ascii="Times New Roman"/>
                <w:b/>
                <w:sz w:val="20"/>
                <w:szCs w:val="20"/>
              </w:rPr>
              <w:t>E02</w:t>
            </w:r>
            <w:r>
              <w:rPr>
                <w:rFonts w:ascii="Times New Roman"/>
                <w:sz w:val="20"/>
                <w:szCs w:val="20"/>
              </w:rPr>
              <w:t xml:space="preserve"> – odpady zebrane ogółem na 1 mieszk.; </w:t>
            </w:r>
            <w:r w:rsidRPr="005B32B6">
              <w:rPr>
                <w:rFonts w:ascii="Times New Roman"/>
                <w:b/>
                <w:i/>
                <w:sz w:val="20"/>
                <w:szCs w:val="20"/>
              </w:rPr>
              <w:t>E03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odpady zebrane z gospodarstw domowych na 1 mieszk.</w:t>
            </w:r>
            <w:r>
              <w:rPr>
                <w:rFonts w:ascii="Times New Roman"/>
                <w:sz w:val="20"/>
                <w:szCs w:val="20"/>
              </w:rPr>
              <w:t xml:space="preserve">, </w:t>
            </w:r>
            <w:r w:rsidRPr="005B32B6">
              <w:rPr>
                <w:rFonts w:ascii="Times New Roman"/>
                <w:b/>
                <w:sz w:val="20"/>
                <w:szCs w:val="20"/>
              </w:rPr>
              <w:t>E04</w:t>
            </w:r>
            <w:r>
              <w:rPr>
                <w:rFonts w:ascii="Times New Roman"/>
                <w:sz w:val="20"/>
                <w:szCs w:val="20"/>
              </w:rPr>
              <w:t xml:space="preserve"> – zużycie wody ogółem na 1 mieszk.;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E05</w:t>
            </w:r>
            <w:r>
              <w:rPr>
                <w:rFonts w:ascii="Times New Roman"/>
                <w:sz w:val="20"/>
                <w:szCs w:val="20"/>
              </w:rPr>
              <w:t xml:space="preserve"> – liczba zbiorników bezodpływowych i oczyszczalni przydomowych na 1 000 mieszk., </w:t>
            </w:r>
            <w:r w:rsidRPr="005B32B6">
              <w:rPr>
                <w:rFonts w:ascii="Times New Roman"/>
                <w:b/>
                <w:i/>
                <w:sz w:val="20"/>
                <w:szCs w:val="20"/>
              </w:rPr>
              <w:t>E06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odsetek ludności korzystającej z oczyszczalni ścieków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E07</w:t>
            </w:r>
            <w:r>
              <w:rPr>
                <w:rFonts w:ascii="Times New Roman"/>
                <w:sz w:val="20"/>
                <w:szCs w:val="20"/>
              </w:rPr>
              <w:t xml:space="preserve"> – liczba pomników przyrody na 100 km</w:t>
            </w:r>
            <w:r>
              <w:rPr>
                <w:rFonts w:asci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/>
                <w:sz w:val="20"/>
                <w:szCs w:val="20"/>
              </w:rPr>
              <w:t xml:space="preserve"> pow.;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E08</w:t>
            </w:r>
            <w:r>
              <w:rPr>
                <w:rFonts w:ascii="Times New Roman"/>
                <w:sz w:val="20"/>
                <w:szCs w:val="20"/>
              </w:rPr>
              <w:t xml:space="preserve"> – udział powierzchni chronionego krajobrazu razem w pow. Ogółem;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E09</w:t>
            </w:r>
            <w:r>
              <w:rPr>
                <w:rFonts w:ascii="Times New Roman"/>
                <w:sz w:val="20"/>
                <w:szCs w:val="20"/>
              </w:rPr>
              <w:t xml:space="preserve"> – lesistość; </w:t>
            </w:r>
          </w:p>
        </w:tc>
      </w:tr>
      <w:tr w:rsidR="009A432A" w:rsidRPr="005B11C9" w:rsidTr="002C453E">
        <w:tc>
          <w:tcPr>
            <w:tcW w:w="9062" w:type="dxa"/>
          </w:tcPr>
          <w:p w:rsidR="009A432A" w:rsidRPr="005B11C9" w:rsidRDefault="009A432A" w:rsidP="002C453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B11C9">
              <w:rPr>
                <w:rFonts w:ascii="Times New Roman"/>
                <w:b/>
                <w:sz w:val="20"/>
                <w:szCs w:val="20"/>
              </w:rPr>
              <w:t>Aspekt przestrzenny</w:t>
            </w:r>
          </w:p>
        </w:tc>
      </w:tr>
      <w:tr w:rsidR="009A432A" w:rsidRPr="005B11C9" w:rsidTr="002C453E">
        <w:tc>
          <w:tcPr>
            <w:tcW w:w="9062" w:type="dxa"/>
          </w:tcPr>
          <w:p w:rsidR="009A432A" w:rsidRPr="000627FA" w:rsidRDefault="009A432A" w:rsidP="002C453E">
            <w:pPr>
              <w:jc w:val="both"/>
              <w:rPr>
                <w:rFonts w:ascii="Times New Roman"/>
                <w:sz w:val="20"/>
                <w:szCs w:val="20"/>
              </w:rPr>
            </w:pPr>
            <w:r w:rsidRPr="005B32B6">
              <w:rPr>
                <w:rFonts w:ascii="Times New Roman"/>
                <w:b/>
                <w:sz w:val="20"/>
                <w:szCs w:val="20"/>
              </w:rPr>
              <w:t>P01</w:t>
            </w:r>
            <w:r>
              <w:rPr>
                <w:rFonts w:ascii="Times New Roman"/>
                <w:sz w:val="20"/>
                <w:szCs w:val="20"/>
              </w:rPr>
              <w:t xml:space="preserve"> – udział pow. terenów zabudowanych i zurbanizowanych w pow. ogółem;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P02</w:t>
            </w:r>
            <w:r>
              <w:rPr>
                <w:rFonts w:ascii="Times New Roman"/>
                <w:sz w:val="20"/>
                <w:szCs w:val="20"/>
              </w:rPr>
              <w:t xml:space="preserve"> – udział pow. mieszkaniowych w pow. terenów zabudowanych i zurbanizowanych ogółem;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P03</w:t>
            </w:r>
            <w:r>
              <w:rPr>
                <w:rFonts w:ascii="Times New Roman"/>
                <w:sz w:val="20"/>
                <w:szCs w:val="20"/>
              </w:rPr>
              <w:t xml:space="preserve"> – udział terenów objętych obowiązującymi MPZP w pow. ogółem;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P04</w:t>
            </w:r>
            <w:r>
              <w:rPr>
                <w:rFonts w:ascii="Times New Roman"/>
                <w:sz w:val="20"/>
                <w:szCs w:val="20"/>
              </w:rPr>
              <w:t xml:space="preserve"> – udział terenów objętych projektami MPZP  w pow. ogółem;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P05</w:t>
            </w:r>
            <w:r>
              <w:rPr>
                <w:rFonts w:ascii="Times New Roman"/>
                <w:sz w:val="20"/>
                <w:szCs w:val="20"/>
              </w:rPr>
              <w:t xml:space="preserve"> – przeciętna pow. objęta przez 1 plan miejscowy;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P06</w:t>
            </w:r>
            <w:r>
              <w:rPr>
                <w:rFonts w:ascii="Times New Roman"/>
                <w:sz w:val="20"/>
                <w:szCs w:val="20"/>
              </w:rPr>
              <w:t xml:space="preserve"> – relacja długości sieci kanalizacyjnej do dł. sieci wodociągowej; </w:t>
            </w:r>
            <w:r w:rsidRPr="005B32B6">
              <w:rPr>
                <w:rFonts w:ascii="Times New Roman"/>
                <w:b/>
                <w:i/>
                <w:sz w:val="20"/>
                <w:szCs w:val="20"/>
              </w:rPr>
              <w:t>P07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długość sieci wodociągowej na 100 km</w:t>
            </w:r>
            <w:r w:rsidRPr="004E47FB">
              <w:rPr>
                <w:rFonts w:ascii="Times New Roman"/>
                <w:i/>
                <w:sz w:val="20"/>
                <w:szCs w:val="20"/>
                <w:vertAlign w:val="superscript"/>
              </w:rPr>
              <w:t>2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pow.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P08</w:t>
            </w:r>
            <w:r>
              <w:rPr>
                <w:rFonts w:ascii="Times New Roman"/>
                <w:sz w:val="20"/>
                <w:szCs w:val="20"/>
              </w:rPr>
              <w:t xml:space="preserve"> – długość sieci kanalizacyjnej na 100 km</w:t>
            </w:r>
            <w:r>
              <w:rPr>
                <w:rFonts w:asci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/>
                <w:sz w:val="20"/>
                <w:szCs w:val="20"/>
              </w:rPr>
              <w:t xml:space="preserve"> pow.;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P09</w:t>
            </w:r>
            <w:r>
              <w:rPr>
                <w:rFonts w:ascii="Times New Roman"/>
                <w:sz w:val="20"/>
                <w:szCs w:val="20"/>
              </w:rPr>
              <w:t xml:space="preserve"> – drogi gminne i powiatowe o twardej nawierzchni na 100 km</w:t>
            </w:r>
            <w:r>
              <w:rPr>
                <w:rFonts w:asci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/>
                <w:sz w:val="20"/>
                <w:szCs w:val="20"/>
              </w:rPr>
              <w:t xml:space="preserve"> pow.;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P10</w:t>
            </w:r>
            <w:r>
              <w:rPr>
                <w:rFonts w:ascii="Times New Roman"/>
                <w:sz w:val="20"/>
                <w:szCs w:val="20"/>
              </w:rPr>
              <w:t xml:space="preserve"> – średnia dynamika liczby mieszkań oddanych do użytku w latach 2006-2014;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P11</w:t>
            </w:r>
            <w:r>
              <w:rPr>
                <w:rFonts w:ascii="Times New Roman"/>
                <w:sz w:val="20"/>
                <w:szCs w:val="20"/>
              </w:rPr>
              <w:t xml:space="preserve"> – średnia dynamika powierzchni mieszkań oddanych do użytku w latach 2006-2014; </w:t>
            </w:r>
            <w:r w:rsidRPr="005B32B6">
              <w:rPr>
                <w:rFonts w:ascii="Times New Roman"/>
                <w:b/>
                <w:i/>
                <w:sz w:val="20"/>
                <w:szCs w:val="20"/>
              </w:rPr>
              <w:t>P12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przeciętna pow. 1 mieszkania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P13</w:t>
            </w:r>
            <w:r>
              <w:rPr>
                <w:rFonts w:ascii="Times New Roman"/>
                <w:sz w:val="20"/>
                <w:szCs w:val="20"/>
              </w:rPr>
              <w:t xml:space="preserve"> – przeciętna pow. mieszkania na 1 osobę;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P14</w:t>
            </w:r>
            <w:r>
              <w:rPr>
                <w:rFonts w:ascii="Times New Roman"/>
                <w:sz w:val="20"/>
                <w:szCs w:val="20"/>
              </w:rPr>
              <w:t xml:space="preserve"> – liczba mieszkań na 1 000 osób;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P15</w:t>
            </w:r>
            <w:r>
              <w:rPr>
                <w:rFonts w:ascii="Times New Roman"/>
                <w:sz w:val="20"/>
                <w:szCs w:val="20"/>
              </w:rPr>
              <w:t xml:space="preserve"> – przeciętna liczba osób na 1 mieszkanie; </w:t>
            </w:r>
            <w:r w:rsidRPr="005B32B6">
              <w:rPr>
                <w:rFonts w:ascii="Times New Roman"/>
                <w:b/>
                <w:i/>
                <w:sz w:val="20"/>
                <w:szCs w:val="20"/>
              </w:rPr>
              <w:t>P16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wyposażenie mieszkań w instalacje sanitarno-techniczne</w:t>
            </w:r>
            <w:r>
              <w:rPr>
                <w:rFonts w:ascii="Times New Roman"/>
                <w:sz w:val="20"/>
                <w:szCs w:val="20"/>
              </w:rPr>
              <w:t xml:space="preserve">; </w:t>
            </w:r>
            <w:r w:rsidRPr="005B32B6">
              <w:rPr>
                <w:rFonts w:ascii="Times New Roman"/>
                <w:b/>
                <w:sz w:val="20"/>
                <w:szCs w:val="20"/>
              </w:rPr>
              <w:t>P17</w:t>
            </w:r>
            <w:r>
              <w:rPr>
                <w:rFonts w:ascii="Times New Roman"/>
                <w:sz w:val="20"/>
                <w:szCs w:val="20"/>
              </w:rPr>
              <w:t xml:space="preserve"> – udział terenów zieleni w powierzchni ogółem; </w:t>
            </w:r>
            <w:r w:rsidRPr="005B32B6">
              <w:rPr>
                <w:rFonts w:ascii="Times New Roman"/>
                <w:b/>
                <w:i/>
                <w:sz w:val="20"/>
                <w:szCs w:val="20"/>
              </w:rPr>
              <w:t>P18</w:t>
            </w:r>
            <w:r w:rsidRPr="004E47FB">
              <w:rPr>
                <w:rFonts w:ascii="Times New Roman"/>
                <w:i/>
                <w:sz w:val="20"/>
                <w:szCs w:val="20"/>
              </w:rPr>
              <w:t xml:space="preserve"> – relacja powierzchni terenów zieleni do terenów zabudowanych i zurbanizowanych</w:t>
            </w:r>
          </w:p>
        </w:tc>
      </w:tr>
    </w:tbl>
    <w:p w:rsidR="009A432A" w:rsidRDefault="009A432A" w:rsidP="009A432A">
      <w:pPr>
        <w:spacing w:after="0" w:line="360" w:lineRule="auto"/>
        <w:jc w:val="both"/>
        <w:rPr>
          <w:rFonts w:ascii="Times New Roman"/>
        </w:rPr>
      </w:pPr>
      <w:r w:rsidRPr="00B3293B">
        <w:rPr>
          <w:rFonts w:ascii="Times New Roman"/>
        </w:rPr>
        <w:t>Źródło: opracowanie własne.</w:t>
      </w:r>
    </w:p>
    <w:p w:rsidR="00E96C86" w:rsidRDefault="00E96C86">
      <w:bookmarkStart w:id="0" w:name="_GoBack"/>
      <w:bookmarkEnd w:id="0"/>
    </w:p>
    <w:sectPr w:rsidR="00E9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2A"/>
    <w:rsid w:val="009A432A"/>
    <w:rsid w:val="00E96C86"/>
    <w:rsid w:val="00F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46F7C-3C08-4654-812A-F7ABFBDD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32A"/>
    <w:rPr>
      <w:rFonts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A432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9A432A"/>
    <w:pPr>
      <w:spacing w:after="0" w:line="240" w:lineRule="auto"/>
    </w:pPr>
    <w:rPr>
      <w:rFonts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3896</Characters>
  <Application>Microsoft Office Word</Application>
  <DocSecurity>0</DocSecurity>
  <Lines>121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1</cp:revision>
  <dcterms:created xsi:type="dcterms:W3CDTF">2017-09-14T10:53:00Z</dcterms:created>
  <dcterms:modified xsi:type="dcterms:W3CDTF">2017-09-14T10:53:00Z</dcterms:modified>
</cp:coreProperties>
</file>