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18B" w:rsidRDefault="00A8518B" w:rsidP="00A851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8518B" w:rsidRPr="00894E3A" w:rsidRDefault="00A8518B" w:rsidP="00A851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color w:val="C00000"/>
          <w:lang w:eastAsia="pl-PL"/>
        </w:rPr>
        <w:drawing>
          <wp:inline distT="0" distB="0" distL="0" distR="0" wp14:anchorId="624B706F" wp14:editId="0325499D">
            <wp:extent cx="5486400" cy="2838450"/>
            <wp:effectExtent l="0" t="0" r="19050" b="19050"/>
            <wp:docPr id="89" name="Wykres 8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8518B" w:rsidRPr="00B97709" w:rsidRDefault="00A8518B" w:rsidP="00A851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7709">
        <w:rPr>
          <w:rFonts w:ascii="Times New Roman" w:hAnsi="Times New Roman" w:cs="Times New Roman"/>
          <w:sz w:val="20"/>
          <w:szCs w:val="20"/>
        </w:rPr>
        <w:t xml:space="preserve">Rys.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B97709">
        <w:rPr>
          <w:rFonts w:ascii="Times New Roman" w:hAnsi="Times New Roman" w:cs="Times New Roman"/>
          <w:sz w:val="20"/>
          <w:szCs w:val="20"/>
        </w:rPr>
        <w:t>. Teraźniejszość a przyszłość źródeł przewagi konkurencyjnej badanych organizacji</w:t>
      </w:r>
    </w:p>
    <w:p w:rsidR="00A8518B" w:rsidRPr="00B97709" w:rsidRDefault="00A8518B" w:rsidP="00A851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7709">
        <w:rPr>
          <w:rFonts w:ascii="Times New Roman" w:hAnsi="Times New Roman" w:cs="Times New Roman"/>
          <w:sz w:val="20"/>
          <w:szCs w:val="20"/>
        </w:rPr>
        <w:t>Źródło: opracowanie własne</w:t>
      </w:r>
    </w:p>
    <w:p w:rsidR="00E342E0" w:rsidRDefault="00E342E0"/>
    <w:sectPr w:rsidR="00E34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18B"/>
    <w:rsid w:val="00A8518B"/>
    <w:rsid w:val="00E3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51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5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1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51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5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zasoby istotne obecnie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Arkusz1!$A$2:$A$14</c:f>
              <c:strCache>
                <c:ptCount val="13"/>
                <c:pt idx="0">
                  <c:v>rzeczowy majątek trwały</c:v>
                </c:pt>
                <c:pt idx="1">
                  <c:v>finanse</c:v>
                </c:pt>
                <c:pt idx="2">
                  <c:v>zapasy</c:v>
                </c:pt>
                <c:pt idx="3">
                  <c:v>lokalizacja</c:v>
                </c:pt>
                <c:pt idx="4">
                  <c:v>zasoby natruralne</c:v>
                </c:pt>
                <c:pt idx="5">
                  <c:v>kompetencje</c:v>
                </c:pt>
                <c:pt idx="6">
                  <c:v>zachowania pracownicze</c:v>
                </c:pt>
                <c:pt idx="7">
                  <c:v>relacje sformalizowane</c:v>
                </c:pt>
                <c:pt idx="8">
                  <c:v>relacje niesformalizowane</c:v>
                </c:pt>
                <c:pt idx="9">
                  <c:v>image firmy</c:v>
                </c:pt>
                <c:pt idx="10">
                  <c:v>rutyny wewnątrzorganizacyjne</c:v>
                </c:pt>
                <c:pt idx="11">
                  <c:v>technologie informatyczne</c:v>
                </c:pt>
                <c:pt idx="12">
                  <c:v>technologie branżowe</c:v>
                </c:pt>
              </c:strCache>
            </c:strRef>
          </c:cat>
          <c:val>
            <c:numRef>
              <c:f>Arkusz1!$B$2:$B$14</c:f>
              <c:numCache>
                <c:formatCode>General</c:formatCode>
                <c:ptCount val="13"/>
                <c:pt idx="0">
                  <c:v>163</c:v>
                </c:pt>
                <c:pt idx="1">
                  <c:v>219</c:v>
                </c:pt>
                <c:pt idx="2">
                  <c:v>99</c:v>
                </c:pt>
                <c:pt idx="3">
                  <c:v>182</c:v>
                </c:pt>
                <c:pt idx="4">
                  <c:v>76</c:v>
                </c:pt>
                <c:pt idx="5">
                  <c:v>266</c:v>
                </c:pt>
                <c:pt idx="6">
                  <c:v>213</c:v>
                </c:pt>
                <c:pt idx="7">
                  <c:v>106</c:v>
                </c:pt>
                <c:pt idx="8">
                  <c:v>131</c:v>
                </c:pt>
                <c:pt idx="9">
                  <c:v>208</c:v>
                </c:pt>
                <c:pt idx="10">
                  <c:v>75</c:v>
                </c:pt>
                <c:pt idx="11">
                  <c:v>130</c:v>
                </c:pt>
                <c:pt idx="12">
                  <c:v>156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zasoby do rozwoju</c:v>
                </c:pt>
              </c:strCache>
            </c:strRef>
          </c:tx>
          <c:spPr>
            <a:solidFill>
              <a:schemeClr val="tx1">
                <a:lumMod val="65000"/>
                <a:lumOff val="35000"/>
              </a:schemeClr>
            </a:solidFill>
          </c:spPr>
          <c:invertIfNegative val="0"/>
          <c:cat>
            <c:strRef>
              <c:f>Arkusz1!$A$2:$A$14</c:f>
              <c:strCache>
                <c:ptCount val="13"/>
                <c:pt idx="0">
                  <c:v>rzeczowy majątek trwały</c:v>
                </c:pt>
                <c:pt idx="1">
                  <c:v>finanse</c:v>
                </c:pt>
                <c:pt idx="2">
                  <c:v>zapasy</c:v>
                </c:pt>
                <c:pt idx="3">
                  <c:v>lokalizacja</c:v>
                </c:pt>
                <c:pt idx="4">
                  <c:v>zasoby natruralne</c:v>
                </c:pt>
                <c:pt idx="5">
                  <c:v>kompetencje</c:v>
                </c:pt>
                <c:pt idx="6">
                  <c:v>zachowania pracownicze</c:v>
                </c:pt>
                <c:pt idx="7">
                  <c:v>relacje sformalizowane</c:v>
                </c:pt>
                <c:pt idx="8">
                  <c:v>relacje niesformalizowane</c:v>
                </c:pt>
                <c:pt idx="9">
                  <c:v>image firmy</c:v>
                </c:pt>
                <c:pt idx="10">
                  <c:v>rutyny wewnątrzorganizacyjne</c:v>
                </c:pt>
                <c:pt idx="11">
                  <c:v>technologie informatyczne</c:v>
                </c:pt>
                <c:pt idx="12">
                  <c:v>technologie branżowe</c:v>
                </c:pt>
              </c:strCache>
            </c:strRef>
          </c:cat>
          <c:val>
            <c:numRef>
              <c:f>Arkusz1!$C$2:$C$14</c:f>
              <c:numCache>
                <c:formatCode>General</c:formatCode>
                <c:ptCount val="13"/>
                <c:pt idx="0">
                  <c:v>132</c:v>
                </c:pt>
                <c:pt idx="1">
                  <c:v>203</c:v>
                </c:pt>
                <c:pt idx="2">
                  <c:v>99</c:v>
                </c:pt>
                <c:pt idx="3">
                  <c:v>99</c:v>
                </c:pt>
                <c:pt idx="4">
                  <c:v>61</c:v>
                </c:pt>
                <c:pt idx="5">
                  <c:v>267</c:v>
                </c:pt>
                <c:pt idx="6">
                  <c:v>195</c:v>
                </c:pt>
                <c:pt idx="7">
                  <c:v>160</c:v>
                </c:pt>
                <c:pt idx="8">
                  <c:v>113</c:v>
                </c:pt>
                <c:pt idx="9">
                  <c:v>178</c:v>
                </c:pt>
                <c:pt idx="10">
                  <c:v>57</c:v>
                </c:pt>
                <c:pt idx="11">
                  <c:v>172</c:v>
                </c:pt>
                <c:pt idx="12">
                  <c:v>137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6378368"/>
        <c:axId val="126379904"/>
        <c:axId val="0"/>
      </c:bar3DChart>
      <c:catAx>
        <c:axId val="126378368"/>
        <c:scaling>
          <c:orientation val="minMax"/>
        </c:scaling>
        <c:delete val="0"/>
        <c:axPos val="b"/>
        <c:majorTickMark val="out"/>
        <c:minorTickMark val="none"/>
        <c:tickLblPos val="nextTo"/>
        <c:crossAx val="126379904"/>
        <c:crosses val="autoZero"/>
        <c:auto val="1"/>
        <c:lblAlgn val="ctr"/>
        <c:lblOffset val="100"/>
        <c:noMultiLvlLbl val="0"/>
      </c:catAx>
      <c:valAx>
        <c:axId val="1263799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6378368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Pietruszka-Ortyl</dc:creator>
  <cp:lastModifiedBy>Anna Pietruszka-Ortyl</cp:lastModifiedBy>
  <cp:revision>1</cp:revision>
  <dcterms:created xsi:type="dcterms:W3CDTF">2017-06-18T12:04:00Z</dcterms:created>
  <dcterms:modified xsi:type="dcterms:W3CDTF">2017-06-18T12:04:00Z</dcterms:modified>
</cp:coreProperties>
</file>