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68" w:rsidRPr="00732C97" w:rsidRDefault="00704868" w:rsidP="007048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868" w:rsidRDefault="00704868" w:rsidP="00704868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46E6DC" wp14:editId="20135413">
            <wp:simplePos x="0" y="0"/>
            <wp:positionH relativeFrom="column">
              <wp:posOffset>-43180</wp:posOffset>
            </wp:positionH>
            <wp:positionV relativeFrom="paragraph">
              <wp:posOffset>-635</wp:posOffset>
            </wp:positionV>
            <wp:extent cx="5638800" cy="3048000"/>
            <wp:effectExtent l="0" t="0" r="0" b="0"/>
            <wp:wrapNone/>
            <wp:docPr id="2" nam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208D21B0" wp14:editId="61522D09">
                <wp:extent cx="5634355" cy="2663825"/>
                <wp:effectExtent l="4445" t="0" r="0" b="444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Kanwa 1" o:spid="_x0000_s1026" editas="canvas" style="width:443.65pt;height:209.75pt;mso-position-horizontal-relative:char;mso-position-vertical-relative:line" coordsize="56343,26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J5kw7eAAAABQEAAA8AAABkcnMv&#10;ZG93bnJldi54bWxMj19LwzAUxd8Fv0O4gi/i0rp/XW06RBBE8GGbgz2mzV1TTW5Kk2712xt9cS8X&#10;Dudwzu8W69EadsLet44EpJMEGFLtVEuNgI/dy30GzAdJShpHKOAbPazL66tC5sqdaYOnbWhYLCGf&#10;SwE6hC7n3NcarfQT1yFF7+h6K0OUfcNVL8+x3Br+kCQLbmVLcUHLDp811l/bwQp4qxd3n2k1HGz2&#10;vtfTuTm8ht1MiNub8ekRWMAx/IfhFz+iQxmZKjeQ8swIiI+Evxu9LFtOgVUCZulqDrws+CV9+QM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ASeZMO3gAAAAUBAAAPAAAAAAAAAAAAAAAA&#10;AG4DAABkcnMvZG93bnJldi54bWxQSwUGAAAAAAQABADzAAAAe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343;height:2663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04868" w:rsidRDefault="00704868" w:rsidP="00704868"/>
    <w:p w:rsidR="00704868" w:rsidRPr="00B97709" w:rsidRDefault="00704868" w:rsidP="007048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>Rys.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97709">
        <w:rPr>
          <w:rFonts w:ascii="Times New Roman" w:hAnsi="Times New Roman" w:cs="Times New Roman"/>
          <w:sz w:val="20"/>
          <w:szCs w:val="20"/>
        </w:rPr>
        <w:t>. Podejście zasobowe i ewolucyjno-rynkowe w praktyce</w:t>
      </w:r>
    </w:p>
    <w:p w:rsidR="00704868" w:rsidRPr="00B97709" w:rsidRDefault="00704868" w:rsidP="007048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>Źródło: opracowanie własne</w:t>
      </w:r>
    </w:p>
    <w:p w:rsidR="00E342E0" w:rsidRDefault="00E342E0">
      <w:bookmarkStart w:id="0" w:name="_GoBack"/>
      <w:bookmarkEnd w:id="0"/>
    </w:p>
    <w:sectPr w:rsidR="00E3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68"/>
    <w:rsid w:val="00704868"/>
    <w:rsid w:val="00E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73972602739726"/>
          <c:y val="2.1406727828746176E-2"/>
          <c:w val="0.70376712328767121"/>
          <c:h val="0.819571865443425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podejście zasobowe</c:v>
                </c:pt>
              </c:strCache>
            </c:strRef>
          </c:tx>
          <c:spPr>
            <a:solidFill>
              <a:srgbClr val="333333"/>
            </a:solidFill>
            <a:ln w="1264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80">
                <a:noFill/>
              </a:ln>
            </c:spPr>
            <c:txPr>
              <a:bodyPr/>
              <a:lstStyle/>
              <a:p>
                <a:pPr>
                  <a:defRPr sz="64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sposób myślenia</c:v>
                </c:pt>
                <c:pt idx="1">
                  <c:v>sformułowanie celów</c:v>
                </c:pt>
                <c:pt idx="2">
                  <c:v>ukierunkowanie konkurencji</c:v>
                </c:pt>
                <c:pt idx="3">
                  <c:v>podłoże konkurencji</c:v>
                </c:pt>
                <c:pt idx="4">
                  <c:v>przewaga konkurencyjna</c:v>
                </c:pt>
                <c:pt idx="5">
                  <c:v>orientacja strategiczna</c:v>
                </c:pt>
                <c:pt idx="6">
                  <c:v>horyzont planowania</c:v>
                </c:pt>
                <c:pt idx="7">
                  <c:v>rola domen</c:v>
                </c:pt>
                <c:pt idx="8">
                  <c:v>zadanie naczelnego kierownictwa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68</c:v>
                </c:pt>
                <c:pt idx="1">
                  <c:v>74</c:v>
                </c:pt>
                <c:pt idx="2">
                  <c:v>75</c:v>
                </c:pt>
                <c:pt idx="3">
                  <c:v>48</c:v>
                </c:pt>
                <c:pt idx="4">
                  <c:v>61</c:v>
                </c:pt>
                <c:pt idx="5">
                  <c:v>65</c:v>
                </c:pt>
                <c:pt idx="6">
                  <c:v>58</c:v>
                </c:pt>
                <c:pt idx="7">
                  <c:v>53</c:v>
                </c:pt>
                <c:pt idx="8">
                  <c:v>60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podejście ewolucyjno rynkowe</c:v>
                </c:pt>
              </c:strCache>
            </c:strRef>
          </c:tx>
          <c:spPr>
            <a:solidFill>
              <a:srgbClr val="FFFFFF"/>
            </a:solidFill>
            <a:ln w="1264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80">
                <a:noFill/>
              </a:ln>
            </c:spPr>
            <c:txPr>
              <a:bodyPr/>
              <a:lstStyle/>
              <a:p>
                <a:pPr>
                  <a:defRPr sz="64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sposób myślenia</c:v>
                </c:pt>
                <c:pt idx="1">
                  <c:v>sformułowanie celów</c:v>
                </c:pt>
                <c:pt idx="2">
                  <c:v>ukierunkowanie konkurencji</c:v>
                </c:pt>
                <c:pt idx="3">
                  <c:v>podłoże konkurencji</c:v>
                </c:pt>
                <c:pt idx="4">
                  <c:v>przewaga konkurencyjna</c:v>
                </c:pt>
                <c:pt idx="5">
                  <c:v>orientacja strategiczna</c:v>
                </c:pt>
                <c:pt idx="6">
                  <c:v>horyzont planowania</c:v>
                </c:pt>
                <c:pt idx="7">
                  <c:v>rola domen</c:v>
                </c:pt>
                <c:pt idx="8">
                  <c:v>zadanie naczelnego kierownictwa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32</c:v>
                </c:pt>
                <c:pt idx="1">
                  <c:v>26</c:v>
                </c:pt>
                <c:pt idx="2">
                  <c:v>25</c:v>
                </c:pt>
                <c:pt idx="3">
                  <c:v>52</c:v>
                </c:pt>
                <c:pt idx="4">
                  <c:v>39</c:v>
                </c:pt>
                <c:pt idx="5">
                  <c:v>35</c:v>
                </c:pt>
                <c:pt idx="6">
                  <c:v>42</c:v>
                </c:pt>
                <c:pt idx="7">
                  <c:v>47</c:v>
                </c:pt>
                <c:pt idx="8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30"/>
        <c:axId val="124102912"/>
        <c:axId val="126173184"/>
      </c:barChart>
      <c:catAx>
        <c:axId val="124102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126173184"/>
        <c:crosses val="autoZero"/>
        <c:auto val="1"/>
        <c:lblAlgn val="ctr"/>
        <c:lblOffset val="20"/>
        <c:tickLblSkip val="1"/>
        <c:tickMarkSkip val="1"/>
        <c:noMultiLvlLbl val="0"/>
      </c:catAx>
      <c:valAx>
        <c:axId val="126173184"/>
        <c:scaling>
          <c:orientation val="minMax"/>
        </c:scaling>
        <c:delete val="0"/>
        <c:axPos val="b"/>
        <c:majorGridlines>
          <c:spPr>
            <a:ln w="31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1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124102912"/>
        <c:crosses val="autoZero"/>
        <c:crossBetween val="between"/>
      </c:valAx>
      <c:spPr>
        <a:solidFill>
          <a:srgbClr val="C0C0C0"/>
        </a:solidFill>
        <a:ln w="1264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86986301369863"/>
          <c:y val="0.94801223241590216"/>
          <c:w val="0.45034246575342468"/>
          <c:h val="4.8929663608562692E-2"/>
        </c:manualLayout>
      </c:layout>
      <c:overlay val="0"/>
      <c:spPr>
        <a:noFill/>
        <a:ln w="3160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1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2017-06-18T12:02:00Z</dcterms:created>
  <dcterms:modified xsi:type="dcterms:W3CDTF">2017-06-18T12:02:00Z</dcterms:modified>
</cp:coreProperties>
</file>