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2B" w:rsidRPr="0058652B" w:rsidRDefault="0058652B" w:rsidP="0058652B">
      <w:pPr>
        <w:rPr>
          <w:spacing w:val="-4"/>
          <w:sz w:val="20"/>
          <w:szCs w:val="24"/>
        </w:rPr>
      </w:pPr>
      <w:r w:rsidRPr="0058652B">
        <w:rPr>
          <w:noProof/>
          <w:sz w:val="22"/>
          <w:lang w:val="en-TT" w:eastAsia="en-TT"/>
        </w:rPr>
        <w:drawing>
          <wp:inline distT="0" distB="0" distL="0" distR="0" wp14:anchorId="3A9D79FD" wp14:editId="465DA079">
            <wp:extent cx="5238750" cy="2952750"/>
            <wp:effectExtent l="0" t="0" r="19050" b="190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652B" w:rsidRPr="0058652B" w:rsidRDefault="0058652B" w:rsidP="0058652B">
      <w:pPr>
        <w:keepNext/>
        <w:spacing w:before="240" w:after="200" w:line="240" w:lineRule="auto"/>
        <w:rPr>
          <w:bCs/>
          <w:sz w:val="22"/>
        </w:rPr>
      </w:pPr>
      <w:r w:rsidRPr="0058652B">
        <w:rPr>
          <w:b/>
          <w:bCs/>
          <w:sz w:val="22"/>
        </w:rPr>
        <w:t xml:space="preserve">Rysunek 5. </w:t>
      </w:r>
      <w:r w:rsidRPr="0058652B">
        <w:rPr>
          <w:bCs/>
          <w:sz w:val="22"/>
        </w:rPr>
        <w:t>Struktura najstarszych grup wieku w Krakowie, Poznaniu, Wrocławiu i Gdańsku w roku 2013</w:t>
      </w:r>
    </w:p>
    <w:p w:rsidR="0058652B" w:rsidRPr="0058652B" w:rsidRDefault="0058652B" w:rsidP="0058652B">
      <w:pPr>
        <w:spacing w:after="360"/>
        <w:ind w:firstLine="708"/>
        <w:rPr>
          <w:rFonts w:ascii="Cambria" w:hAnsi="Cambria" w:cstheme="minorBidi"/>
        </w:rPr>
      </w:pPr>
      <w:r w:rsidRPr="0058652B">
        <w:rPr>
          <w:spacing w:val="-4"/>
          <w:sz w:val="20"/>
          <w:szCs w:val="18"/>
        </w:rPr>
        <w:t>Źródło: opracowanie własne na podstawie Bank Danych Lokalnych, GUS, www.stat.gov.pl/bdl [18.07.2014]</w:t>
      </w:r>
    </w:p>
    <w:p w:rsidR="00306277" w:rsidRDefault="0058652B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2B"/>
    <w:rsid w:val="00005A0C"/>
    <w:rsid w:val="001A3C46"/>
    <w:rsid w:val="002841F1"/>
    <w:rsid w:val="002F7FD1"/>
    <w:rsid w:val="00315DC0"/>
    <w:rsid w:val="00442208"/>
    <w:rsid w:val="0058652B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52B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52B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BNW\dr\teksty\Z%20PENA%20ANI%2002072014\Z%20PENA%20ANI%2002072014\city%20ageing\BDL_ludno&#347;&#263;_2013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Arkusz3!$C$1</c:f>
              <c:strCache>
                <c:ptCount val="1"/>
                <c:pt idx="0">
                  <c:v>Kraków</c:v>
                </c:pt>
              </c:strCache>
            </c:strRef>
          </c:tx>
          <c:invertIfNegative val="0"/>
          <c:cat>
            <c:strRef>
              <c:f>Arkusz3!$A$41:$A$58</c:f>
              <c:strCache>
                <c:ptCount val="6"/>
                <c:pt idx="0">
                  <c:v>60-64</c:v>
                </c:pt>
                <c:pt idx="1">
                  <c:v>65-69</c:v>
                </c:pt>
                <c:pt idx="2">
                  <c:v>70-74</c:v>
                </c:pt>
                <c:pt idx="3">
                  <c:v>75-79</c:v>
                </c:pt>
                <c:pt idx="4">
                  <c:v>80-84</c:v>
                </c:pt>
                <c:pt idx="5">
                  <c:v>85 i więcej</c:v>
                </c:pt>
              </c:strCache>
            </c:strRef>
          </c:cat>
          <c:val>
            <c:numRef>
              <c:f>Arkusz3!$C$41:$C$56</c:f>
              <c:numCache>
                <c:formatCode>0</c:formatCode>
                <c:ptCount val="6"/>
                <c:pt idx="0">
                  <c:v>52747</c:v>
                </c:pt>
                <c:pt idx="1">
                  <c:v>41072</c:v>
                </c:pt>
                <c:pt idx="2">
                  <c:v>27924</c:v>
                </c:pt>
                <c:pt idx="3">
                  <c:v>25876</c:v>
                </c:pt>
                <c:pt idx="4">
                  <c:v>20388</c:v>
                </c:pt>
                <c:pt idx="5">
                  <c:v>14744</c:v>
                </c:pt>
              </c:numCache>
            </c:numRef>
          </c:val>
        </c:ser>
        <c:ser>
          <c:idx val="1"/>
          <c:order val="1"/>
          <c:tx>
            <c:strRef>
              <c:f>Arkusz3!$E$1</c:f>
              <c:strCache>
                <c:ptCount val="1"/>
                <c:pt idx="0">
                  <c:v>Poznań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Arkusz3!$A$41:$A$58</c:f>
              <c:strCache>
                <c:ptCount val="6"/>
                <c:pt idx="0">
                  <c:v>60-64</c:v>
                </c:pt>
                <c:pt idx="1">
                  <c:v>65-69</c:v>
                </c:pt>
                <c:pt idx="2">
                  <c:v>70-74</c:v>
                </c:pt>
                <c:pt idx="3">
                  <c:v>75-79</c:v>
                </c:pt>
                <c:pt idx="4">
                  <c:v>80-84</c:v>
                </c:pt>
                <c:pt idx="5">
                  <c:v>85 i więcej</c:v>
                </c:pt>
              </c:strCache>
            </c:strRef>
          </c:cat>
          <c:val>
            <c:numRef>
              <c:f>Arkusz3!$E$41:$E$56</c:f>
              <c:numCache>
                <c:formatCode>0</c:formatCode>
                <c:ptCount val="6"/>
                <c:pt idx="0">
                  <c:v>41208</c:v>
                </c:pt>
                <c:pt idx="1">
                  <c:v>31757</c:v>
                </c:pt>
                <c:pt idx="2">
                  <c:v>18859</c:v>
                </c:pt>
                <c:pt idx="3">
                  <c:v>17989</c:v>
                </c:pt>
                <c:pt idx="4">
                  <c:v>14195</c:v>
                </c:pt>
                <c:pt idx="5">
                  <c:v>10770</c:v>
                </c:pt>
              </c:numCache>
            </c:numRef>
          </c:val>
        </c:ser>
        <c:ser>
          <c:idx val="2"/>
          <c:order val="2"/>
          <c:tx>
            <c:strRef>
              <c:f>Arkusz3!$G$1</c:f>
              <c:strCache>
                <c:ptCount val="1"/>
                <c:pt idx="0">
                  <c:v>Wrocław</c:v>
                </c:pt>
              </c:strCache>
            </c:strRef>
          </c:tx>
          <c:invertIfNegative val="0"/>
          <c:cat>
            <c:strRef>
              <c:f>Arkusz3!$A$41:$A$58</c:f>
              <c:strCache>
                <c:ptCount val="6"/>
                <c:pt idx="0">
                  <c:v>60-64</c:v>
                </c:pt>
                <c:pt idx="1">
                  <c:v>65-69</c:v>
                </c:pt>
                <c:pt idx="2">
                  <c:v>70-74</c:v>
                </c:pt>
                <c:pt idx="3">
                  <c:v>75-79</c:v>
                </c:pt>
                <c:pt idx="4">
                  <c:v>80-84</c:v>
                </c:pt>
                <c:pt idx="5">
                  <c:v>85 i więcej</c:v>
                </c:pt>
              </c:strCache>
            </c:strRef>
          </c:cat>
          <c:val>
            <c:numRef>
              <c:f>Arkusz3!$G$41:$G$56</c:f>
              <c:numCache>
                <c:formatCode>0</c:formatCode>
                <c:ptCount val="6"/>
                <c:pt idx="0">
                  <c:v>49059</c:v>
                </c:pt>
                <c:pt idx="1">
                  <c:v>32978</c:v>
                </c:pt>
                <c:pt idx="2">
                  <c:v>22132</c:v>
                </c:pt>
                <c:pt idx="3">
                  <c:v>21819</c:v>
                </c:pt>
                <c:pt idx="4">
                  <c:v>17663</c:v>
                </c:pt>
                <c:pt idx="5">
                  <c:v>13946</c:v>
                </c:pt>
              </c:numCache>
            </c:numRef>
          </c:val>
        </c:ser>
        <c:ser>
          <c:idx val="3"/>
          <c:order val="3"/>
          <c:tx>
            <c:strRef>
              <c:f>Arkusz3!$I$1</c:f>
              <c:strCache>
                <c:ptCount val="1"/>
                <c:pt idx="0">
                  <c:v>Gdańsk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Arkusz3!$A$41:$A$58</c:f>
              <c:strCache>
                <c:ptCount val="6"/>
                <c:pt idx="0">
                  <c:v>60-64</c:v>
                </c:pt>
                <c:pt idx="1">
                  <c:v>65-69</c:v>
                </c:pt>
                <c:pt idx="2">
                  <c:v>70-74</c:v>
                </c:pt>
                <c:pt idx="3">
                  <c:v>75-79</c:v>
                </c:pt>
                <c:pt idx="4">
                  <c:v>80-84</c:v>
                </c:pt>
                <c:pt idx="5">
                  <c:v>85 i więcej</c:v>
                </c:pt>
              </c:strCache>
            </c:strRef>
          </c:cat>
          <c:val>
            <c:numRef>
              <c:f>Arkusz3!$I$41:$I$56</c:f>
              <c:numCache>
                <c:formatCode>0</c:formatCode>
                <c:ptCount val="6"/>
                <c:pt idx="0">
                  <c:v>35439</c:v>
                </c:pt>
                <c:pt idx="1">
                  <c:v>24975</c:v>
                </c:pt>
                <c:pt idx="2">
                  <c:v>17430</c:v>
                </c:pt>
                <c:pt idx="3">
                  <c:v>15804</c:v>
                </c:pt>
                <c:pt idx="4">
                  <c:v>11611</c:v>
                </c:pt>
                <c:pt idx="5">
                  <c:v>8986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2"/>
        <c:axId val="183965184"/>
        <c:axId val="105217344"/>
      </c:barChart>
      <c:catAx>
        <c:axId val="183965184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crossAx val="105217344"/>
        <c:crosses val="autoZero"/>
        <c:auto val="1"/>
        <c:lblAlgn val="ctr"/>
        <c:lblOffset val="100"/>
        <c:noMultiLvlLbl val="0"/>
      </c:catAx>
      <c:valAx>
        <c:axId val="105217344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3965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2017-05-11T22:03:00Z</dcterms:created>
  <dcterms:modified xsi:type="dcterms:W3CDTF">2017-05-11T22:03:00Z</dcterms:modified>
</cp:coreProperties>
</file>