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46E" w:rsidRPr="00EF146E" w:rsidRDefault="00EF146E" w:rsidP="00EF146E">
      <w:pPr>
        <w:rPr>
          <w:spacing w:val="-4"/>
          <w:szCs w:val="24"/>
        </w:rPr>
      </w:pPr>
      <w:r w:rsidRPr="00EF146E">
        <w:rPr>
          <w:noProof/>
          <w:sz w:val="22"/>
          <w:lang w:val="en-TT" w:eastAsia="en-TT"/>
        </w:rPr>
        <w:drawing>
          <wp:inline distT="0" distB="0" distL="0" distR="0" wp14:anchorId="18D0A7A3" wp14:editId="17BBC7F2">
            <wp:extent cx="4890052" cy="2236304"/>
            <wp:effectExtent l="0" t="0" r="25400" b="12065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EF146E" w:rsidRPr="00EF146E" w:rsidRDefault="00EF146E" w:rsidP="00EF146E">
      <w:pPr>
        <w:spacing w:before="240" w:after="200" w:line="240" w:lineRule="auto"/>
        <w:jc w:val="left"/>
        <w:rPr>
          <w:b/>
          <w:bCs/>
          <w:spacing w:val="-4"/>
          <w:sz w:val="22"/>
        </w:rPr>
      </w:pPr>
      <w:r w:rsidRPr="00EF146E">
        <w:rPr>
          <w:b/>
          <w:bCs/>
          <w:sz w:val="22"/>
        </w:rPr>
        <w:t xml:space="preserve">Rysunek 4. </w:t>
      </w:r>
      <w:r w:rsidRPr="00EF146E">
        <w:rPr>
          <w:bCs/>
          <w:sz w:val="22"/>
        </w:rPr>
        <w:t>Liczba ludności w tysiącach w Krakowie, Poznaniu, Wrocławiu i Gdańsku według stanu w 2013 roku i prognozy demograficznej na rok 2035</w:t>
      </w:r>
    </w:p>
    <w:p w:rsidR="00EF146E" w:rsidRPr="00EF146E" w:rsidRDefault="00EF146E" w:rsidP="00EF146E">
      <w:pPr>
        <w:spacing w:after="360"/>
        <w:ind w:firstLine="708"/>
        <w:rPr>
          <w:spacing w:val="-4"/>
          <w:sz w:val="20"/>
          <w:szCs w:val="18"/>
        </w:rPr>
      </w:pPr>
      <w:r w:rsidRPr="00EF146E">
        <w:rPr>
          <w:spacing w:val="-4"/>
          <w:sz w:val="20"/>
          <w:szCs w:val="18"/>
        </w:rPr>
        <w:t>Źródło: opracowanie własne na podstawie</w:t>
      </w:r>
      <w:r w:rsidRPr="00EF146E">
        <w:rPr>
          <w:sz w:val="20"/>
          <w:szCs w:val="18"/>
        </w:rPr>
        <w:t xml:space="preserve"> </w:t>
      </w:r>
      <w:r w:rsidRPr="00EF146E">
        <w:rPr>
          <w:spacing w:val="-4"/>
          <w:sz w:val="20"/>
          <w:szCs w:val="18"/>
        </w:rPr>
        <w:t>Bank Danych Lokalnych, GUS, www.stat.gov.pl/bdl [18.11.2013]</w:t>
      </w:r>
    </w:p>
    <w:p w:rsidR="00306277" w:rsidRDefault="00EF146E">
      <w:bookmarkStart w:id="0" w:name="_GoBack"/>
      <w:bookmarkEnd w:id="0"/>
    </w:p>
    <w:sectPr w:rsidR="0030627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46E"/>
    <w:rsid w:val="00005A0C"/>
    <w:rsid w:val="001A3C46"/>
    <w:rsid w:val="002841F1"/>
    <w:rsid w:val="002F7FD1"/>
    <w:rsid w:val="00315DC0"/>
    <w:rsid w:val="00442208"/>
    <w:rsid w:val="006461EC"/>
    <w:rsid w:val="006D6A01"/>
    <w:rsid w:val="007F0A13"/>
    <w:rsid w:val="00896060"/>
    <w:rsid w:val="008F6878"/>
    <w:rsid w:val="009D7B7B"/>
    <w:rsid w:val="00B06E5E"/>
    <w:rsid w:val="00BE301C"/>
    <w:rsid w:val="00E76A08"/>
    <w:rsid w:val="00EF146E"/>
    <w:rsid w:val="00F35CC0"/>
    <w:rsid w:val="00F557F9"/>
    <w:rsid w:val="00FD0A7C"/>
    <w:rsid w:val="00F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46E"/>
    <w:rPr>
      <w:rFonts w:ascii="Tahoma" w:hAnsi="Tahoma" w:cs="Tahoma"/>
      <w:sz w:val="16"/>
      <w:szCs w:val="16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770"/>
    <w:pPr>
      <w:spacing w:after="0" w:line="360" w:lineRule="auto"/>
      <w:jc w:val="both"/>
    </w:pPr>
    <w:rPr>
      <w:rFonts w:ascii="Times New Roman" w:hAnsi="Times New Roman" w:cs="Times New Roman"/>
      <w:sz w:val="24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30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BE301C"/>
    <w:pPr>
      <w:keepNext/>
      <w:keepLines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E30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BE301C"/>
    <w:rPr>
      <w:rFonts w:ascii="Cambria" w:eastAsia="Calibri" w:hAnsi="Cambria" w:cs="Times New Roman"/>
      <w:b/>
      <w:lang w:val="pl-PL"/>
    </w:rPr>
  </w:style>
  <w:style w:type="paragraph" w:styleId="Legenda">
    <w:name w:val="caption"/>
    <w:basedOn w:val="Normalny"/>
    <w:next w:val="Normalny"/>
    <w:uiPriority w:val="35"/>
    <w:unhideWhenUsed/>
    <w:qFormat/>
    <w:rsid w:val="00BE301C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99"/>
    <w:qFormat/>
    <w:rsid w:val="00BE301C"/>
    <w:pPr>
      <w:ind w:left="720"/>
      <w:contextualSpacing/>
    </w:pPr>
  </w:style>
  <w:style w:type="paragraph" w:customStyle="1" w:styleId="normalny0">
    <w:name w:val="normalny"/>
    <w:basedOn w:val="Normalny"/>
    <w:link w:val="normalnyZnak"/>
    <w:qFormat/>
    <w:rsid w:val="00BE301C"/>
    <w:pPr>
      <w:ind w:firstLine="708"/>
    </w:pPr>
    <w:rPr>
      <w:spacing w:val="-4"/>
      <w:szCs w:val="24"/>
    </w:rPr>
  </w:style>
  <w:style w:type="character" w:customStyle="1" w:styleId="normalnyZnak">
    <w:name w:val="normalny Znak"/>
    <w:basedOn w:val="Domylnaczcionkaakapitu"/>
    <w:link w:val="normalny0"/>
    <w:rsid w:val="00BE301C"/>
    <w:rPr>
      <w:rFonts w:ascii="Times New Roman" w:eastAsia="Calibri" w:hAnsi="Times New Roman" w:cs="Times New Roman"/>
      <w:spacing w:val="-4"/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4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46E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oleObject" Target="file:///D:\BNW\dr\teksty\Z%20PENA%20ANI%2002072014\Z%20PENA%20ANI%2002072014\city%20ageing\BDL_du&#380;e.xls" TargetMode="External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TT"/>
  <c:roundedCorners val="0"/>
  <mc:AlternateContent xmlns:mc="http://schemas.openxmlformats.org/markup-compatibility/2006">
    <mc:Choice xmlns:c14="http://schemas.microsoft.com/office/drawing/2007/8/2/chart" Requires="c14">
      <c14:style val="101"/>
    </mc:Choice>
    <mc:Fallback>
      <c:style val="1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varyColors val="0"/>
        <c:ser>
          <c:idx val="0"/>
          <c:order val="0"/>
          <c:tx>
            <c:v>2013</c:v>
          </c:tx>
          <c:cat>
            <c:strRef>
              <c:f>DATA!$A$6:$A$10</c:f>
              <c:strCache>
                <c:ptCount val="4"/>
                <c:pt idx="0">
                  <c:v>Kraków</c:v>
                </c:pt>
                <c:pt idx="1">
                  <c:v>Wrocław</c:v>
                </c:pt>
                <c:pt idx="2">
                  <c:v>Poznań</c:v>
                </c:pt>
                <c:pt idx="3">
                  <c:v>Gdańsk</c:v>
                </c:pt>
              </c:strCache>
            </c:strRef>
          </c:cat>
          <c:val>
            <c:numRef>
              <c:f>DATA!$F$6:$F$10</c:f>
              <c:numCache>
                <c:formatCode>0</c:formatCode>
                <c:ptCount val="4"/>
                <c:pt idx="0">
                  <c:v>182751</c:v>
                </c:pt>
                <c:pt idx="1">
                  <c:v>157597</c:v>
                </c:pt>
                <c:pt idx="2">
                  <c:v>134778</c:v>
                </c:pt>
                <c:pt idx="3">
                  <c:v>114245</c:v>
                </c:pt>
              </c:numCache>
            </c:numRef>
          </c:val>
          <c:smooth val="0"/>
        </c:ser>
        <c:ser>
          <c:idx val="1"/>
          <c:order val="1"/>
          <c:tx>
            <c:v>udział w 2013</c:v>
          </c:tx>
          <c:cat>
            <c:strRef>
              <c:f>DATA!$A$6:$A$10</c:f>
              <c:strCache>
                <c:ptCount val="4"/>
                <c:pt idx="0">
                  <c:v>Kraków</c:v>
                </c:pt>
                <c:pt idx="1">
                  <c:v>Wrocław</c:v>
                </c:pt>
                <c:pt idx="2">
                  <c:v>Poznań</c:v>
                </c:pt>
                <c:pt idx="3">
                  <c:v>Gdańsk</c:v>
                </c:pt>
              </c:strCache>
            </c:strRef>
          </c:cat>
          <c:val>
            <c:numRef>
              <c:f>DATA!$G$6:$G$10</c:f>
              <c:numCache>
                <c:formatCode>0.00%</c:formatCode>
                <c:ptCount val="4"/>
                <c:pt idx="0">
                  <c:v>0.2407811940046799</c:v>
                </c:pt>
                <c:pt idx="1">
                  <c:v>0.24933590900964614</c:v>
                </c:pt>
                <c:pt idx="2">
                  <c:v>0.24593268957060738</c:v>
                </c:pt>
                <c:pt idx="3">
                  <c:v>0.24753483514650282</c:v>
                </c:pt>
              </c:numCache>
            </c:numRef>
          </c:val>
          <c:smooth val="0"/>
        </c:ser>
        <c:ser>
          <c:idx val="2"/>
          <c:order val="2"/>
          <c:tx>
            <c:v>2035</c:v>
          </c:tx>
          <c:cat>
            <c:strRef>
              <c:f>DATA!$A$6:$A$10</c:f>
              <c:strCache>
                <c:ptCount val="4"/>
                <c:pt idx="0">
                  <c:v>Kraków</c:v>
                </c:pt>
                <c:pt idx="1">
                  <c:v>Wrocław</c:v>
                </c:pt>
                <c:pt idx="2">
                  <c:v>Poznań</c:v>
                </c:pt>
                <c:pt idx="3">
                  <c:v>Gdańsk</c:v>
                </c:pt>
              </c:strCache>
            </c:strRef>
          </c:cat>
          <c:val>
            <c:numRef>
              <c:f>DATA!$H$6:$H$10</c:f>
              <c:numCache>
                <c:formatCode>General</c:formatCode>
                <c:ptCount val="4"/>
                <c:pt idx="0">
                  <c:v>219041</c:v>
                </c:pt>
                <c:pt idx="1">
                  <c:v>175313</c:v>
                </c:pt>
                <c:pt idx="2">
                  <c:v>141289</c:v>
                </c:pt>
                <c:pt idx="3">
                  <c:v>128526</c:v>
                </c:pt>
              </c:numCache>
            </c:numRef>
          </c:val>
          <c:smooth val="0"/>
        </c:ser>
        <c:ser>
          <c:idx val="3"/>
          <c:order val="3"/>
          <c:tx>
            <c:v>udział w 2035</c:v>
          </c:tx>
          <c:cat>
            <c:strRef>
              <c:f>DATA!$A$6:$A$10</c:f>
              <c:strCache>
                <c:ptCount val="4"/>
                <c:pt idx="0">
                  <c:v>Kraków</c:v>
                </c:pt>
                <c:pt idx="1">
                  <c:v>Wrocław</c:v>
                </c:pt>
                <c:pt idx="2">
                  <c:v>Poznań</c:v>
                </c:pt>
                <c:pt idx="3">
                  <c:v>Gdańsk</c:v>
                </c:pt>
              </c:strCache>
            </c:strRef>
          </c:cat>
          <c:val>
            <c:numRef>
              <c:f>DATA!$I$6:$I$10</c:f>
              <c:numCache>
                <c:formatCode>0.00%</c:formatCode>
                <c:ptCount val="4"/>
                <c:pt idx="0">
                  <c:v>0.28480000000000183</c:v>
                </c:pt>
                <c:pt idx="1">
                  <c:v>0.28740000000000032</c:v>
                </c:pt>
                <c:pt idx="2">
                  <c:v>0.28860000000000002</c:v>
                </c:pt>
                <c:pt idx="3">
                  <c:v>0.29750000000000032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97084672"/>
        <c:axId val="105214464"/>
      </c:lineChart>
      <c:catAx>
        <c:axId val="1970846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05214464"/>
        <c:crosses val="autoZero"/>
        <c:auto val="1"/>
        <c:lblAlgn val="ctr"/>
        <c:lblOffset val="100"/>
        <c:noMultiLvlLbl val="0"/>
      </c:catAx>
      <c:valAx>
        <c:axId val="105214464"/>
        <c:scaling>
          <c:orientation val="minMax"/>
          <c:max val="225000"/>
          <c:min val="10425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pl-PL"/>
                  <a:t>liczba mieszkańców 60+</a:t>
                </a:r>
                <a:endParaRPr lang="en-TT"/>
              </a:p>
            </c:rich>
          </c:tx>
          <c:overlay val="0"/>
        </c:title>
        <c:numFmt formatCode="0" sourceLinked="1"/>
        <c:majorTickMark val="none"/>
        <c:minorTickMark val="none"/>
        <c:tickLblPos val="nextTo"/>
        <c:crossAx val="197084672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0.04725</cdr:x>
      <cdr:y>0.69291</cdr:y>
    </cdr:from>
    <cdr:to>
      <cdr:x>0.09844</cdr:x>
      <cdr:y>0.76378</cdr:y>
    </cdr:to>
    <cdr:sp macro="" textlink="">
      <cdr:nvSpPr>
        <cdr:cNvPr id="2" name="Prostokąt 1"/>
        <cdr:cNvSpPr/>
      </cdr:nvSpPr>
      <cdr:spPr>
        <a:xfrm xmlns:a="http://schemas.openxmlformats.org/drawingml/2006/main">
          <a:off x="231029" y="1549226"/>
          <a:ext cx="250293" cy="158453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en-US"/>
        </a:p>
      </cdr:txBody>
    </cdr:sp>
  </cdr:relSizeAnchor>
  <cdr:relSizeAnchor xmlns:cdr="http://schemas.openxmlformats.org/drawingml/2006/chartDrawing">
    <cdr:from>
      <cdr:x>0.04879</cdr:x>
      <cdr:y>0.87129</cdr:y>
    </cdr:from>
    <cdr:to>
      <cdr:x>0.09757</cdr:x>
      <cdr:y>0.95131</cdr:y>
    </cdr:to>
    <cdr:sp macro="" textlink="">
      <cdr:nvSpPr>
        <cdr:cNvPr id="6" name="Prostokąt 5"/>
        <cdr:cNvSpPr/>
      </cdr:nvSpPr>
      <cdr:spPr>
        <a:xfrm xmlns:a="http://schemas.openxmlformats.org/drawingml/2006/main">
          <a:off x="238538" y="1948070"/>
          <a:ext cx="238540" cy="178904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Pawlina</dc:creator>
  <cp:lastModifiedBy>Anna Pawlina</cp:lastModifiedBy>
  <cp:revision>1</cp:revision>
  <dcterms:created xsi:type="dcterms:W3CDTF">2017-05-11T22:04:00Z</dcterms:created>
  <dcterms:modified xsi:type="dcterms:W3CDTF">2017-05-11T22:04:00Z</dcterms:modified>
</cp:coreProperties>
</file>