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D6" w:rsidRPr="000D65D6" w:rsidRDefault="000D65D6" w:rsidP="000D65D6">
      <w:pPr>
        <w:rPr>
          <w:spacing w:val="-4"/>
          <w:szCs w:val="24"/>
        </w:rPr>
      </w:pPr>
      <w:r w:rsidRPr="000D65D6">
        <w:rPr>
          <w:noProof/>
          <w:sz w:val="22"/>
          <w:lang w:val="en-TT" w:eastAsia="en-TT"/>
        </w:rPr>
        <w:drawing>
          <wp:inline distT="0" distB="0" distL="0" distR="0" wp14:anchorId="686A0EC4" wp14:editId="47C560F3">
            <wp:extent cx="4857750" cy="1809750"/>
            <wp:effectExtent l="0" t="0" r="19050" b="190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D65D6" w:rsidRPr="000D65D6" w:rsidRDefault="000D65D6" w:rsidP="000D65D6">
      <w:pPr>
        <w:spacing w:before="240" w:after="200" w:line="240" w:lineRule="auto"/>
        <w:jc w:val="left"/>
        <w:rPr>
          <w:bCs/>
          <w:spacing w:val="-4"/>
          <w:sz w:val="22"/>
        </w:rPr>
      </w:pPr>
      <w:r w:rsidRPr="000D65D6">
        <w:rPr>
          <w:b/>
          <w:bCs/>
          <w:sz w:val="22"/>
        </w:rPr>
        <w:t xml:space="preserve">Rysunek 3. </w:t>
      </w:r>
      <w:r w:rsidRPr="000D65D6">
        <w:rPr>
          <w:bCs/>
          <w:sz w:val="22"/>
        </w:rPr>
        <w:t>Udział ludności w wieku 60+ w miastach liczących powyżej 400 tys. mieszkańców w Polsce w roku 2013</w:t>
      </w:r>
    </w:p>
    <w:p w:rsidR="000D65D6" w:rsidRPr="000D65D6" w:rsidRDefault="000D65D6" w:rsidP="000D65D6">
      <w:pPr>
        <w:spacing w:after="360"/>
        <w:ind w:firstLine="708"/>
        <w:rPr>
          <w:spacing w:val="-4"/>
          <w:sz w:val="20"/>
          <w:szCs w:val="18"/>
        </w:rPr>
      </w:pPr>
      <w:r w:rsidRPr="000D65D6">
        <w:rPr>
          <w:spacing w:val="-4"/>
          <w:sz w:val="20"/>
          <w:szCs w:val="18"/>
        </w:rPr>
        <w:t>Źródło: opracowanie własne na podstawie</w:t>
      </w:r>
      <w:r w:rsidRPr="000D65D6">
        <w:rPr>
          <w:i/>
          <w:color w:val="FF0000"/>
          <w:sz w:val="20"/>
          <w:szCs w:val="18"/>
        </w:rPr>
        <w:t xml:space="preserve"> </w:t>
      </w:r>
      <w:r w:rsidRPr="000D65D6">
        <w:rPr>
          <w:spacing w:val="-4"/>
          <w:sz w:val="20"/>
          <w:szCs w:val="18"/>
        </w:rPr>
        <w:t>Bank Danych Lokalnych, GUS, www.stat.gov.pl/bdl [18.11.2016]</w:t>
      </w:r>
    </w:p>
    <w:p w:rsidR="00306277" w:rsidRDefault="000D65D6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5D6"/>
    <w:rsid w:val="00005A0C"/>
    <w:rsid w:val="000D65D6"/>
    <w:rsid w:val="001A3C46"/>
    <w:rsid w:val="002841F1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D6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5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5D6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BNW\dr\teksty\Z%20PENA%20ANI%2002072014\Z%20PENA%20ANI%2002072014\city%20ageing\BDL_du&#380;e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[BDL_duże.xls]DATA!$G$4</c:f>
              <c:strCache>
                <c:ptCount val="1"/>
                <c:pt idx="0">
                  <c:v>udział ludności 60+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5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[BDL_duże.xls]DATA!$A$5:$A$11</c:f>
              <c:strCache>
                <c:ptCount val="7"/>
                <c:pt idx="0">
                  <c:v>Warszawa</c:v>
                </c:pt>
                <c:pt idx="1">
                  <c:v>Kraków</c:v>
                </c:pt>
                <c:pt idx="2">
                  <c:v>Łódź</c:v>
                </c:pt>
                <c:pt idx="3">
                  <c:v>Wrocław</c:v>
                </c:pt>
                <c:pt idx="4">
                  <c:v>Poznań</c:v>
                </c:pt>
                <c:pt idx="5">
                  <c:v>Gdańsk</c:v>
                </c:pt>
                <c:pt idx="6">
                  <c:v>Szczecin</c:v>
                </c:pt>
              </c:strCache>
            </c:strRef>
          </c:cat>
          <c:val>
            <c:numRef>
              <c:f>[BDL_duże.xls]DATA!$G$5:$G$11</c:f>
              <c:numCache>
                <c:formatCode>0.00%</c:formatCode>
                <c:ptCount val="7"/>
                <c:pt idx="0">
                  <c:v>0.25599627465489538</c:v>
                </c:pt>
                <c:pt idx="1">
                  <c:v>0.2407811940046799</c:v>
                </c:pt>
                <c:pt idx="2">
                  <c:v>0.27939133906530284</c:v>
                </c:pt>
                <c:pt idx="3">
                  <c:v>0.24933590900964614</c:v>
                </c:pt>
                <c:pt idx="4">
                  <c:v>0.24593268957060738</c:v>
                </c:pt>
                <c:pt idx="5">
                  <c:v>0.24753483514650282</c:v>
                </c:pt>
                <c:pt idx="6">
                  <c:v>0.24754025263859394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044288"/>
        <c:axId val="105217344"/>
      </c:barChart>
      <c:catAx>
        <c:axId val="18004428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50"/>
            </a:pPr>
            <a:endParaRPr lang="en-US"/>
          </a:p>
        </c:txPr>
        <c:crossAx val="105217344"/>
        <c:crosses val="autoZero"/>
        <c:auto val="1"/>
        <c:lblAlgn val="ctr"/>
        <c:lblOffset val="100"/>
        <c:noMultiLvlLbl val="0"/>
      </c:catAx>
      <c:valAx>
        <c:axId val="105217344"/>
        <c:scaling>
          <c:orientation val="minMax"/>
        </c:scaling>
        <c:delete val="1"/>
        <c:axPos val="b"/>
        <c:numFmt formatCode="0.00%" sourceLinked="1"/>
        <c:majorTickMark val="none"/>
        <c:minorTickMark val="none"/>
        <c:tickLblPos val="none"/>
        <c:crossAx val="180044288"/>
        <c:crosses val="autoZero"/>
        <c:crossBetween val="between"/>
      </c:valAx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2017-05-11T22:04:00Z</dcterms:created>
  <dcterms:modified xsi:type="dcterms:W3CDTF">2017-05-11T22:04:00Z</dcterms:modified>
</cp:coreProperties>
</file>