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CB" w:rsidRPr="005621FF" w:rsidRDefault="00543056" w:rsidP="00835C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Tabela 1</w:t>
      </w:r>
      <w:bookmarkStart w:id="0" w:name="_GoBack"/>
      <w:bookmarkEnd w:id="0"/>
      <w:r w:rsidR="00835CCB" w:rsidRPr="005621FF">
        <w:rPr>
          <w:rFonts w:ascii="Times New Roman" w:hAnsi="Times New Roman" w:cs="Times New Roman"/>
          <w:sz w:val="20"/>
          <w:szCs w:val="24"/>
        </w:rPr>
        <w:t>. Zestawienie kar administracyjnych za naruszenie bezpieczeństwa danych osobowych w USA (stan na 1 lipca 2016 r.)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68"/>
        <w:gridCol w:w="2268"/>
      </w:tblGrid>
      <w:tr w:rsidR="00835CCB" w:rsidRPr="00592A22" w:rsidTr="008449A8">
        <w:trPr>
          <w:jc w:val="center"/>
        </w:trPr>
        <w:tc>
          <w:tcPr>
            <w:tcW w:w="2235" w:type="dxa"/>
            <w:vMerge w:val="restart"/>
            <w:vAlign w:val="center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Nazwa stanu USA</w:t>
            </w:r>
          </w:p>
        </w:tc>
        <w:tc>
          <w:tcPr>
            <w:tcW w:w="4536" w:type="dxa"/>
            <w:gridSpan w:val="2"/>
            <w:vAlign w:val="center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Maksymalna kara administracyjna (w USD)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  <w:vMerge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Za 1 poszkodowanego</w:t>
            </w:r>
          </w:p>
        </w:tc>
        <w:tc>
          <w:tcPr>
            <w:tcW w:w="2268" w:type="dxa"/>
            <w:vAlign w:val="center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Alaska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Arizona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Dystrykt Kolumbii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Floryda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Hawaje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Idaho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Illinois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Indiana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Iowa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Maine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  <w:r w:rsidRPr="00592A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Michigan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750.000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Minnesota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Missouri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Nowy Jork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  <w:r w:rsidRPr="00592A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Dakota Północna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Oregon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Rhode</w:t>
            </w:r>
            <w:proofErr w:type="spellEnd"/>
            <w:r w:rsidRPr="00592A22">
              <w:rPr>
                <w:rFonts w:ascii="Times New Roman" w:hAnsi="Times New Roman" w:cs="Times New Roman"/>
                <w:sz w:val="20"/>
                <w:szCs w:val="20"/>
              </w:rPr>
              <w:t xml:space="preserve"> Island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Karolina Południowa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Teksas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  <w:r w:rsidRPr="00592A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Utah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Wirginia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835CCB" w:rsidRPr="00592A22" w:rsidTr="008449A8">
        <w:trPr>
          <w:jc w:val="center"/>
        </w:trPr>
        <w:tc>
          <w:tcPr>
            <w:tcW w:w="2235" w:type="dxa"/>
          </w:tcPr>
          <w:p w:rsidR="00835CCB" w:rsidRPr="00592A22" w:rsidRDefault="00835CCB" w:rsidP="00844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Wirginia Zachodnia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68" w:type="dxa"/>
          </w:tcPr>
          <w:p w:rsidR="00835CCB" w:rsidRPr="00592A22" w:rsidRDefault="00835CCB" w:rsidP="00844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A22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  <w:r w:rsidRPr="00592A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</w:tbl>
    <w:p w:rsidR="00835CCB" w:rsidRPr="00592A22" w:rsidRDefault="00835CCB" w:rsidP="00835CC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Legenda:</w:t>
      </w:r>
    </w:p>
    <w:p w:rsidR="00835CCB" w:rsidRPr="00592A22" w:rsidRDefault="00835CCB" w:rsidP="00835CC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1 – plus „stosowna rekompensata”</w:t>
      </w:r>
    </w:p>
    <w:p w:rsidR="00835CCB" w:rsidRPr="00592A22" w:rsidRDefault="00835CCB" w:rsidP="00835CC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2 – tylko gdy wina umyślna lub rażące niedbalstwo</w:t>
      </w:r>
    </w:p>
    <w:p w:rsidR="00835CCB" w:rsidRPr="00592A22" w:rsidRDefault="00835CCB" w:rsidP="00835CC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3 – plus kara administracyjna za opóźnienie notyfikacji</w:t>
      </w:r>
    </w:p>
    <w:p w:rsidR="00835CCB" w:rsidRPr="00592A22" w:rsidRDefault="00835CCB" w:rsidP="00835CC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4 – tylko gdy wina umyślna</w:t>
      </w:r>
    </w:p>
    <w:p w:rsidR="00835CCB" w:rsidRPr="00592A22" w:rsidRDefault="00835CCB" w:rsidP="00835CC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92A22">
        <w:rPr>
          <w:rFonts w:ascii="Times New Roman" w:hAnsi="Times New Roman" w:cs="Times New Roman"/>
          <w:sz w:val="20"/>
        </w:rPr>
        <w:t>Źródło: opracowanie własne.</w:t>
      </w:r>
    </w:p>
    <w:p w:rsidR="00835CCB" w:rsidRPr="00980CD3" w:rsidRDefault="00835CCB" w:rsidP="00835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CCB" w:rsidRDefault="00835CCB" w:rsidP="00835CCB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703EA5CF" wp14:editId="2E6BE5EB">
            <wp:extent cx="5486400" cy="32004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5CCB" w:rsidRPr="0008155C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lang w:eastAsia="pl-PL"/>
        </w:rPr>
      </w:pPr>
      <w:r w:rsidRPr="0008155C">
        <w:rPr>
          <w:rFonts w:ascii="Times New Roman" w:hAnsi="Times New Roman" w:cs="Times New Roman"/>
          <w:noProof/>
          <w:sz w:val="20"/>
          <w:lang w:eastAsia="pl-PL"/>
        </w:rPr>
        <w:t>Rys. 1. Liczba stanów USA posiadających obowiązujące przepisy o obowiązku notyfikacji poszkodowanych w razie naruszenia bezpieczeństwa danych w latach 2003-2015 oraz wskaźnik penetracji ubezpieczeń cybernetycznych w USA (w %)</w:t>
      </w:r>
    </w:p>
    <w:p w:rsidR="00835CCB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8155C">
        <w:rPr>
          <w:rFonts w:ascii="Times New Roman" w:hAnsi="Times New Roman" w:cs="Times New Roman"/>
          <w:noProof/>
          <w:sz w:val="20"/>
          <w:lang w:eastAsia="pl-PL"/>
        </w:rPr>
        <w:lastRenderedPageBreak/>
        <w:t xml:space="preserve">Źródło: </w:t>
      </w:r>
      <w:r w:rsidRPr="0008155C">
        <w:rPr>
          <w:rFonts w:ascii="Times New Roman" w:hAnsi="Times New Roman" w:cs="Times New Roman"/>
          <w:sz w:val="20"/>
        </w:rPr>
        <w:t>[</w:t>
      </w:r>
      <w:proofErr w:type="spellStart"/>
      <w:r w:rsidRPr="0008155C">
        <w:rPr>
          <w:rFonts w:ascii="Times New Roman" w:hAnsi="Times New Roman" w:cs="Times New Roman"/>
          <w:sz w:val="20"/>
        </w:rPr>
        <w:t>Ayers</w:t>
      </w:r>
      <w:proofErr w:type="spellEnd"/>
      <w:r w:rsidRPr="0008155C">
        <w:rPr>
          <w:rFonts w:ascii="Times New Roman" w:hAnsi="Times New Roman" w:cs="Times New Roman"/>
          <w:sz w:val="20"/>
        </w:rPr>
        <w:t xml:space="preserve"> 2015].</w:t>
      </w:r>
    </w:p>
    <w:p w:rsidR="00835CCB" w:rsidRDefault="00835CCB" w:rsidP="00835CCB">
      <w:pPr>
        <w:spacing w:after="0"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:rsidR="00835CCB" w:rsidRDefault="00835CCB" w:rsidP="00835CCB">
      <w:pPr>
        <w:spacing w:after="0" w:line="240" w:lineRule="auto"/>
        <w:jc w:val="both"/>
      </w:pPr>
      <w:r>
        <w:rPr>
          <w:noProof/>
          <w:lang w:eastAsia="pl-PL"/>
        </w:rPr>
        <w:drawing>
          <wp:inline distT="0" distB="0" distL="0" distR="0" wp14:anchorId="6E75268E" wp14:editId="1F54F845">
            <wp:extent cx="5486400" cy="3200400"/>
            <wp:effectExtent l="0" t="0" r="19050" b="1905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5CCB" w:rsidRPr="000C51BD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C51BD">
        <w:rPr>
          <w:rFonts w:ascii="Times New Roman" w:hAnsi="Times New Roman" w:cs="Times New Roman"/>
          <w:sz w:val="20"/>
        </w:rPr>
        <w:t xml:space="preserve">Rys. 2. Przypis składki z </w:t>
      </w:r>
      <w:proofErr w:type="spellStart"/>
      <w:r w:rsidRPr="000C51BD">
        <w:rPr>
          <w:rFonts w:ascii="Times New Roman" w:hAnsi="Times New Roman" w:cs="Times New Roman"/>
          <w:sz w:val="20"/>
        </w:rPr>
        <w:t>cyber</w:t>
      </w:r>
      <w:proofErr w:type="spellEnd"/>
      <w:r w:rsidRPr="000C51BD">
        <w:rPr>
          <w:rFonts w:ascii="Times New Roman" w:hAnsi="Times New Roman" w:cs="Times New Roman"/>
          <w:sz w:val="20"/>
        </w:rPr>
        <w:t xml:space="preserve"> ubezpieczeń w USA w latach 2002-2016 (szacunkowo, w mln USD)</w:t>
      </w:r>
    </w:p>
    <w:p w:rsidR="00835CCB" w:rsidRPr="000C51BD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C51BD">
        <w:rPr>
          <w:rFonts w:ascii="Times New Roman" w:hAnsi="Times New Roman" w:cs="Times New Roman"/>
          <w:sz w:val="20"/>
        </w:rPr>
        <w:t>Źródło: opracowanie własne na podstawie [</w:t>
      </w:r>
      <w:proofErr w:type="spellStart"/>
      <w:r w:rsidRPr="000C51BD">
        <w:rPr>
          <w:rFonts w:ascii="Times New Roman" w:hAnsi="Times New Roman" w:cs="Times New Roman"/>
          <w:sz w:val="20"/>
        </w:rPr>
        <w:t>Betterley</w:t>
      </w:r>
      <w:proofErr w:type="spellEnd"/>
      <w:r w:rsidRPr="000C51BD">
        <w:rPr>
          <w:rFonts w:ascii="Times New Roman" w:hAnsi="Times New Roman" w:cs="Times New Roman"/>
          <w:sz w:val="20"/>
        </w:rPr>
        <w:t xml:space="preserve"> 2016].</w:t>
      </w:r>
    </w:p>
    <w:p w:rsidR="00835CCB" w:rsidRPr="000C51BD" w:rsidRDefault="00835CCB" w:rsidP="00835CC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35CCB" w:rsidRDefault="00835CCB" w:rsidP="00835CCB">
      <w:pPr>
        <w:jc w:val="both"/>
      </w:pPr>
      <w:r>
        <w:rPr>
          <w:noProof/>
          <w:lang w:eastAsia="pl-PL"/>
        </w:rPr>
        <w:drawing>
          <wp:inline distT="0" distB="0" distL="0" distR="0" wp14:anchorId="0DAB573F" wp14:editId="013ECF07">
            <wp:extent cx="5486400" cy="28765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35CCB" w:rsidRPr="000C51BD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C51BD">
        <w:rPr>
          <w:rFonts w:ascii="Times New Roman" w:hAnsi="Times New Roman" w:cs="Times New Roman"/>
          <w:sz w:val="20"/>
        </w:rPr>
        <w:t xml:space="preserve">Rys. 3. Liczba ujawnionych </w:t>
      </w:r>
      <w:r w:rsidRPr="000C51BD">
        <w:rPr>
          <w:rFonts w:ascii="Times New Roman" w:hAnsi="Times New Roman" w:cs="Times New Roman"/>
          <w:i/>
          <w:sz w:val="20"/>
        </w:rPr>
        <w:t xml:space="preserve">data </w:t>
      </w:r>
      <w:proofErr w:type="spellStart"/>
      <w:r w:rsidRPr="000C51BD">
        <w:rPr>
          <w:rFonts w:ascii="Times New Roman" w:hAnsi="Times New Roman" w:cs="Times New Roman"/>
          <w:i/>
          <w:sz w:val="20"/>
        </w:rPr>
        <w:t>breach</w:t>
      </w:r>
      <w:proofErr w:type="spellEnd"/>
      <w:r w:rsidRPr="000C51BD">
        <w:rPr>
          <w:rFonts w:ascii="Times New Roman" w:hAnsi="Times New Roman" w:cs="Times New Roman"/>
          <w:sz w:val="20"/>
        </w:rPr>
        <w:t xml:space="preserve"> w USA (stan na dzień 20.11.2016)</w:t>
      </w:r>
    </w:p>
    <w:p w:rsidR="00835CCB" w:rsidRPr="000C51BD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0C51BD">
        <w:rPr>
          <w:rFonts w:ascii="Times New Roman" w:hAnsi="Times New Roman" w:cs="Times New Roman"/>
          <w:sz w:val="20"/>
        </w:rPr>
        <w:t xml:space="preserve">Źródło: opracowanie własne na podstawie danych z Identity </w:t>
      </w:r>
      <w:proofErr w:type="spellStart"/>
      <w:r w:rsidRPr="000C51BD">
        <w:rPr>
          <w:rFonts w:ascii="Times New Roman" w:hAnsi="Times New Roman" w:cs="Times New Roman"/>
          <w:sz w:val="20"/>
        </w:rPr>
        <w:t>Theft</w:t>
      </w:r>
      <w:proofErr w:type="spellEnd"/>
      <w:r w:rsidRPr="000C51BD">
        <w:rPr>
          <w:rFonts w:ascii="Times New Roman" w:hAnsi="Times New Roman" w:cs="Times New Roman"/>
          <w:sz w:val="20"/>
        </w:rPr>
        <w:t xml:space="preserve"> Resource Center, </w:t>
      </w:r>
      <w:hyperlink r:id="rId7" w:history="1">
        <w:r w:rsidRPr="000C51BD">
          <w:rPr>
            <w:rStyle w:val="Hipercze"/>
            <w:rFonts w:ascii="Times New Roman" w:hAnsi="Times New Roman" w:cs="Times New Roman"/>
            <w:sz w:val="20"/>
          </w:rPr>
          <w:t>www.idtheftcenter.org</w:t>
        </w:r>
      </w:hyperlink>
      <w:r w:rsidRPr="000C51BD">
        <w:rPr>
          <w:rFonts w:ascii="Times New Roman" w:hAnsi="Times New Roman" w:cs="Times New Roman"/>
          <w:sz w:val="20"/>
        </w:rPr>
        <w:t xml:space="preserve"> (dostęp 29.11.2016)</w:t>
      </w:r>
    </w:p>
    <w:p w:rsidR="00835CCB" w:rsidRPr="000C51BD" w:rsidRDefault="00835CCB" w:rsidP="00835C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508"/>
      </w:tblGrid>
      <w:tr w:rsidR="00835CCB" w:rsidTr="008449A8">
        <w:tc>
          <w:tcPr>
            <w:tcW w:w="4564" w:type="dxa"/>
          </w:tcPr>
          <w:p w:rsidR="00835CCB" w:rsidRDefault="00835CCB" w:rsidP="008449A8">
            <w:pPr>
              <w:jc w:val="center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2290776C" wp14:editId="1B422E59">
                  <wp:extent cx="2924175" cy="2392680"/>
                  <wp:effectExtent l="0" t="0" r="9525" b="7620"/>
                  <wp:docPr id="3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835CCB" w:rsidRDefault="00835CCB" w:rsidP="008449A8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4F8C414" wp14:editId="6687127F">
                  <wp:extent cx="2880000" cy="2392680"/>
                  <wp:effectExtent l="0" t="0" r="15875" b="7620"/>
                  <wp:docPr id="10" name="Wykres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35CCB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B57E36">
        <w:rPr>
          <w:rFonts w:ascii="Times New Roman" w:hAnsi="Times New Roman" w:cs="Times New Roman"/>
          <w:sz w:val="20"/>
        </w:rPr>
        <w:t xml:space="preserve">Rys. </w:t>
      </w:r>
      <w:r>
        <w:rPr>
          <w:rFonts w:ascii="Times New Roman" w:hAnsi="Times New Roman" w:cs="Times New Roman"/>
          <w:sz w:val="20"/>
        </w:rPr>
        <w:t>4</w:t>
      </w:r>
      <w:r w:rsidRPr="00B57E36">
        <w:rPr>
          <w:rFonts w:ascii="Times New Roman" w:hAnsi="Times New Roman" w:cs="Times New Roman"/>
          <w:sz w:val="20"/>
        </w:rPr>
        <w:t xml:space="preserve">. Udział sektora usług finansowych i ochrony zdrowia w liczbie ujawnionych wypadków data </w:t>
      </w:r>
      <w:proofErr w:type="spellStart"/>
      <w:r w:rsidRPr="00B57E36">
        <w:rPr>
          <w:rFonts w:ascii="Times New Roman" w:hAnsi="Times New Roman" w:cs="Times New Roman"/>
          <w:sz w:val="20"/>
        </w:rPr>
        <w:t>breach</w:t>
      </w:r>
      <w:proofErr w:type="spellEnd"/>
      <w:r w:rsidRPr="00B57E36">
        <w:rPr>
          <w:rFonts w:ascii="Times New Roman" w:hAnsi="Times New Roman" w:cs="Times New Roman"/>
          <w:sz w:val="20"/>
        </w:rPr>
        <w:t xml:space="preserve"> (wykres lewy) i w liczbie ujawnionych rekordów danych </w:t>
      </w:r>
      <w:r>
        <w:rPr>
          <w:rFonts w:ascii="Times New Roman" w:hAnsi="Times New Roman" w:cs="Times New Roman"/>
          <w:sz w:val="20"/>
        </w:rPr>
        <w:t xml:space="preserve">(prawy wykres) </w:t>
      </w:r>
      <w:r w:rsidRPr="00B57E36">
        <w:rPr>
          <w:rFonts w:ascii="Times New Roman" w:hAnsi="Times New Roman" w:cs="Times New Roman"/>
          <w:sz w:val="20"/>
        </w:rPr>
        <w:t>w USA w latach 2005-2016</w:t>
      </w:r>
    </w:p>
    <w:p w:rsidR="00835CCB" w:rsidRPr="00B57E36" w:rsidRDefault="00835CCB" w:rsidP="00835CC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B57E36">
        <w:rPr>
          <w:rFonts w:ascii="Times New Roman" w:hAnsi="Times New Roman" w:cs="Times New Roman"/>
          <w:sz w:val="20"/>
        </w:rPr>
        <w:t xml:space="preserve">Źródło: opracowanie własne na podstawie danych z </w:t>
      </w:r>
      <w:proofErr w:type="spellStart"/>
      <w:r w:rsidRPr="00B57E36">
        <w:rPr>
          <w:rFonts w:ascii="Times New Roman" w:hAnsi="Times New Roman" w:cs="Times New Roman"/>
          <w:sz w:val="20"/>
        </w:rPr>
        <w:t>Privacy</w:t>
      </w:r>
      <w:proofErr w:type="spellEnd"/>
      <w:r w:rsidRPr="00B57E3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7E36">
        <w:rPr>
          <w:rFonts w:ascii="Times New Roman" w:hAnsi="Times New Roman" w:cs="Times New Roman"/>
          <w:sz w:val="20"/>
        </w:rPr>
        <w:t>Rights</w:t>
      </w:r>
      <w:proofErr w:type="spellEnd"/>
      <w:r w:rsidRPr="00B57E3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57E36">
        <w:rPr>
          <w:rFonts w:ascii="Times New Roman" w:hAnsi="Times New Roman" w:cs="Times New Roman"/>
          <w:sz w:val="20"/>
        </w:rPr>
        <w:t>Clearinghouse</w:t>
      </w:r>
      <w:proofErr w:type="spellEnd"/>
      <w:r w:rsidRPr="00B57E36">
        <w:rPr>
          <w:rFonts w:ascii="Times New Roman" w:hAnsi="Times New Roman" w:cs="Times New Roman"/>
          <w:sz w:val="20"/>
        </w:rPr>
        <w:t>, www.privacyrights.org (dostęp 21.11.2016)</w:t>
      </w:r>
    </w:p>
    <w:p w:rsidR="00835CCB" w:rsidRPr="00C40FC1" w:rsidRDefault="00835CCB" w:rsidP="00835C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94EBF" w:rsidRPr="00835CCB" w:rsidRDefault="00094EBF" w:rsidP="00835CCB">
      <w:pPr>
        <w:spacing w:after="0" w:line="240" w:lineRule="auto"/>
        <w:rPr>
          <w:rFonts w:ascii="Times New Roman" w:hAnsi="Times New Roman" w:cs="Times New Roman"/>
        </w:rPr>
      </w:pPr>
    </w:p>
    <w:sectPr w:rsidR="00094EBF" w:rsidRPr="0083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B"/>
    <w:rsid w:val="0000722A"/>
    <w:rsid w:val="00021590"/>
    <w:rsid w:val="000263C1"/>
    <w:rsid w:val="000379C9"/>
    <w:rsid w:val="00041766"/>
    <w:rsid w:val="00045E72"/>
    <w:rsid w:val="000503B0"/>
    <w:rsid w:val="00052307"/>
    <w:rsid w:val="00057BCC"/>
    <w:rsid w:val="0006690B"/>
    <w:rsid w:val="000673EC"/>
    <w:rsid w:val="00073D17"/>
    <w:rsid w:val="000862B4"/>
    <w:rsid w:val="00086390"/>
    <w:rsid w:val="00087E7A"/>
    <w:rsid w:val="00090F66"/>
    <w:rsid w:val="00094CCC"/>
    <w:rsid w:val="00094EBF"/>
    <w:rsid w:val="0009776B"/>
    <w:rsid w:val="000A22A2"/>
    <w:rsid w:val="000A5038"/>
    <w:rsid w:val="000C04D9"/>
    <w:rsid w:val="000C1972"/>
    <w:rsid w:val="000C25D2"/>
    <w:rsid w:val="000C5DD8"/>
    <w:rsid w:val="000C6B3D"/>
    <w:rsid w:val="000D0D61"/>
    <w:rsid w:val="000D7CA8"/>
    <w:rsid w:val="000E73B9"/>
    <w:rsid w:val="000F3272"/>
    <w:rsid w:val="00123D67"/>
    <w:rsid w:val="00135BFE"/>
    <w:rsid w:val="0013676A"/>
    <w:rsid w:val="00137FAE"/>
    <w:rsid w:val="00144127"/>
    <w:rsid w:val="00144C7F"/>
    <w:rsid w:val="0014784F"/>
    <w:rsid w:val="0015085D"/>
    <w:rsid w:val="00152B4E"/>
    <w:rsid w:val="00153148"/>
    <w:rsid w:val="001548C8"/>
    <w:rsid w:val="00163ECB"/>
    <w:rsid w:val="001825DE"/>
    <w:rsid w:val="00183075"/>
    <w:rsid w:val="00183747"/>
    <w:rsid w:val="00185315"/>
    <w:rsid w:val="001A27A8"/>
    <w:rsid w:val="001A67E2"/>
    <w:rsid w:val="001B51B3"/>
    <w:rsid w:val="001B6A34"/>
    <w:rsid w:val="001C2A3B"/>
    <w:rsid w:val="001C726B"/>
    <w:rsid w:val="001D4243"/>
    <w:rsid w:val="001D44E3"/>
    <w:rsid w:val="001D5671"/>
    <w:rsid w:val="001D736D"/>
    <w:rsid w:val="001E0CE3"/>
    <w:rsid w:val="001F58FA"/>
    <w:rsid w:val="001F644C"/>
    <w:rsid w:val="002072A9"/>
    <w:rsid w:val="00210C14"/>
    <w:rsid w:val="002167C2"/>
    <w:rsid w:val="00222C34"/>
    <w:rsid w:val="0022771F"/>
    <w:rsid w:val="00227966"/>
    <w:rsid w:val="00236858"/>
    <w:rsid w:val="00243278"/>
    <w:rsid w:val="00246D6E"/>
    <w:rsid w:val="0025557C"/>
    <w:rsid w:val="0026171F"/>
    <w:rsid w:val="00264C9F"/>
    <w:rsid w:val="0027284E"/>
    <w:rsid w:val="00275AB9"/>
    <w:rsid w:val="0028074C"/>
    <w:rsid w:val="00286A75"/>
    <w:rsid w:val="00292130"/>
    <w:rsid w:val="002A2922"/>
    <w:rsid w:val="002B3078"/>
    <w:rsid w:val="002B33BA"/>
    <w:rsid w:val="002B3B4F"/>
    <w:rsid w:val="002B48CA"/>
    <w:rsid w:val="002C383A"/>
    <w:rsid w:val="002C6B05"/>
    <w:rsid w:val="002D6253"/>
    <w:rsid w:val="002E0CB0"/>
    <w:rsid w:val="002F69F3"/>
    <w:rsid w:val="002F6A49"/>
    <w:rsid w:val="00301E79"/>
    <w:rsid w:val="00304D63"/>
    <w:rsid w:val="00323F75"/>
    <w:rsid w:val="003247D2"/>
    <w:rsid w:val="00337D55"/>
    <w:rsid w:val="00345FE1"/>
    <w:rsid w:val="00365081"/>
    <w:rsid w:val="0036728D"/>
    <w:rsid w:val="00371490"/>
    <w:rsid w:val="003714B1"/>
    <w:rsid w:val="00382B39"/>
    <w:rsid w:val="00390F16"/>
    <w:rsid w:val="0039137E"/>
    <w:rsid w:val="00391F71"/>
    <w:rsid w:val="0039313B"/>
    <w:rsid w:val="00394F5B"/>
    <w:rsid w:val="003A270A"/>
    <w:rsid w:val="003A3F14"/>
    <w:rsid w:val="003B5207"/>
    <w:rsid w:val="003C3369"/>
    <w:rsid w:val="003C4454"/>
    <w:rsid w:val="003C4BCF"/>
    <w:rsid w:val="003D044C"/>
    <w:rsid w:val="003D646F"/>
    <w:rsid w:val="003E1967"/>
    <w:rsid w:val="003F0E03"/>
    <w:rsid w:val="003F1B2B"/>
    <w:rsid w:val="003F2460"/>
    <w:rsid w:val="003F3995"/>
    <w:rsid w:val="00407EAC"/>
    <w:rsid w:val="00413D03"/>
    <w:rsid w:val="00415564"/>
    <w:rsid w:val="00421084"/>
    <w:rsid w:val="00437F28"/>
    <w:rsid w:val="00444603"/>
    <w:rsid w:val="00455425"/>
    <w:rsid w:val="004675C4"/>
    <w:rsid w:val="00471D86"/>
    <w:rsid w:val="00473385"/>
    <w:rsid w:val="00482851"/>
    <w:rsid w:val="004874AE"/>
    <w:rsid w:val="00493F36"/>
    <w:rsid w:val="004A53A4"/>
    <w:rsid w:val="004B1CD3"/>
    <w:rsid w:val="004B3E80"/>
    <w:rsid w:val="004B46B3"/>
    <w:rsid w:val="004C4848"/>
    <w:rsid w:val="004C4AC8"/>
    <w:rsid w:val="004D11A6"/>
    <w:rsid w:val="004D19B9"/>
    <w:rsid w:val="004D783B"/>
    <w:rsid w:val="004E2C65"/>
    <w:rsid w:val="004E32AE"/>
    <w:rsid w:val="004E6FDC"/>
    <w:rsid w:val="004F2E6B"/>
    <w:rsid w:val="004F3F09"/>
    <w:rsid w:val="004F746A"/>
    <w:rsid w:val="005020B0"/>
    <w:rsid w:val="005132ED"/>
    <w:rsid w:val="00517103"/>
    <w:rsid w:val="00531786"/>
    <w:rsid w:val="00540585"/>
    <w:rsid w:val="00540BC9"/>
    <w:rsid w:val="00540EED"/>
    <w:rsid w:val="00543056"/>
    <w:rsid w:val="00544456"/>
    <w:rsid w:val="00547179"/>
    <w:rsid w:val="00556999"/>
    <w:rsid w:val="0055776A"/>
    <w:rsid w:val="00563B71"/>
    <w:rsid w:val="00564E4F"/>
    <w:rsid w:val="005734F0"/>
    <w:rsid w:val="00575373"/>
    <w:rsid w:val="0057543D"/>
    <w:rsid w:val="005807B0"/>
    <w:rsid w:val="00582587"/>
    <w:rsid w:val="00593AA4"/>
    <w:rsid w:val="005948EF"/>
    <w:rsid w:val="005A0A16"/>
    <w:rsid w:val="005A24CC"/>
    <w:rsid w:val="005A2CBF"/>
    <w:rsid w:val="005A341D"/>
    <w:rsid w:val="005A3FE7"/>
    <w:rsid w:val="005B0345"/>
    <w:rsid w:val="005B13A8"/>
    <w:rsid w:val="005C0520"/>
    <w:rsid w:val="005D7BA8"/>
    <w:rsid w:val="005E21BA"/>
    <w:rsid w:val="005E3DDE"/>
    <w:rsid w:val="005F06FD"/>
    <w:rsid w:val="005F2E5A"/>
    <w:rsid w:val="005F36DE"/>
    <w:rsid w:val="005F5561"/>
    <w:rsid w:val="00603676"/>
    <w:rsid w:val="00615D87"/>
    <w:rsid w:val="00620E55"/>
    <w:rsid w:val="006263DF"/>
    <w:rsid w:val="00630B12"/>
    <w:rsid w:val="0063167E"/>
    <w:rsid w:val="00634D0F"/>
    <w:rsid w:val="0064098B"/>
    <w:rsid w:val="00643062"/>
    <w:rsid w:val="006470F1"/>
    <w:rsid w:val="006543C4"/>
    <w:rsid w:val="00657EC5"/>
    <w:rsid w:val="00662B42"/>
    <w:rsid w:val="0066405D"/>
    <w:rsid w:val="00671AFB"/>
    <w:rsid w:val="0067471F"/>
    <w:rsid w:val="00687A1E"/>
    <w:rsid w:val="00694C58"/>
    <w:rsid w:val="00697424"/>
    <w:rsid w:val="006B2EFD"/>
    <w:rsid w:val="006B4FD0"/>
    <w:rsid w:val="006D24FB"/>
    <w:rsid w:val="006D7FE1"/>
    <w:rsid w:val="006E3F9A"/>
    <w:rsid w:val="006E7812"/>
    <w:rsid w:val="006F1080"/>
    <w:rsid w:val="006F651F"/>
    <w:rsid w:val="00702781"/>
    <w:rsid w:val="00704DF6"/>
    <w:rsid w:val="00706CE6"/>
    <w:rsid w:val="00710176"/>
    <w:rsid w:val="0071543E"/>
    <w:rsid w:val="00723551"/>
    <w:rsid w:val="007241BF"/>
    <w:rsid w:val="0072631C"/>
    <w:rsid w:val="00727AA1"/>
    <w:rsid w:val="00727DBE"/>
    <w:rsid w:val="00744AED"/>
    <w:rsid w:val="007617DC"/>
    <w:rsid w:val="007633AD"/>
    <w:rsid w:val="00772221"/>
    <w:rsid w:val="00772CEE"/>
    <w:rsid w:val="00774455"/>
    <w:rsid w:val="00775630"/>
    <w:rsid w:val="00786D07"/>
    <w:rsid w:val="00787DB1"/>
    <w:rsid w:val="0079306C"/>
    <w:rsid w:val="00796696"/>
    <w:rsid w:val="00796C55"/>
    <w:rsid w:val="007A1DA4"/>
    <w:rsid w:val="007A2063"/>
    <w:rsid w:val="007A2E23"/>
    <w:rsid w:val="007A4B67"/>
    <w:rsid w:val="007B284C"/>
    <w:rsid w:val="007D59A6"/>
    <w:rsid w:val="007D6741"/>
    <w:rsid w:val="007E1A37"/>
    <w:rsid w:val="007E204C"/>
    <w:rsid w:val="007F6D96"/>
    <w:rsid w:val="00800718"/>
    <w:rsid w:val="00803F38"/>
    <w:rsid w:val="0081173E"/>
    <w:rsid w:val="0081301A"/>
    <w:rsid w:val="00826274"/>
    <w:rsid w:val="00826F67"/>
    <w:rsid w:val="00835CCB"/>
    <w:rsid w:val="008432E7"/>
    <w:rsid w:val="00843972"/>
    <w:rsid w:val="00845DE0"/>
    <w:rsid w:val="00845FC3"/>
    <w:rsid w:val="008508A0"/>
    <w:rsid w:val="00857360"/>
    <w:rsid w:val="0085760E"/>
    <w:rsid w:val="00860D2E"/>
    <w:rsid w:val="008618D2"/>
    <w:rsid w:val="008626E7"/>
    <w:rsid w:val="008736FA"/>
    <w:rsid w:val="008765B9"/>
    <w:rsid w:val="00885AB5"/>
    <w:rsid w:val="00885C55"/>
    <w:rsid w:val="00897016"/>
    <w:rsid w:val="008972E2"/>
    <w:rsid w:val="008A0CF6"/>
    <w:rsid w:val="008A6B89"/>
    <w:rsid w:val="008A71B4"/>
    <w:rsid w:val="008B136D"/>
    <w:rsid w:val="008B20D2"/>
    <w:rsid w:val="008B6A81"/>
    <w:rsid w:val="008B753D"/>
    <w:rsid w:val="008C3DE2"/>
    <w:rsid w:val="008E0D63"/>
    <w:rsid w:val="008E16B1"/>
    <w:rsid w:val="008E2868"/>
    <w:rsid w:val="008E4C3D"/>
    <w:rsid w:val="008F6C0F"/>
    <w:rsid w:val="00920DCF"/>
    <w:rsid w:val="00921756"/>
    <w:rsid w:val="00923B41"/>
    <w:rsid w:val="00933E87"/>
    <w:rsid w:val="00937BAA"/>
    <w:rsid w:val="00941073"/>
    <w:rsid w:val="00942445"/>
    <w:rsid w:val="009447B1"/>
    <w:rsid w:val="00946118"/>
    <w:rsid w:val="00950961"/>
    <w:rsid w:val="00954617"/>
    <w:rsid w:val="009555F3"/>
    <w:rsid w:val="00961034"/>
    <w:rsid w:val="00970317"/>
    <w:rsid w:val="00974767"/>
    <w:rsid w:val="00975058"/>
    <w:rsid w:val="00977020"/>
    <w:rsid w:val="009779E5"/>
    <w:rsid w:val="00991A12"/>
    <w:rsid w:val="009A40BD"/>
    <w:rsid w:val="009A76DC"/>
    <w:rsid w:val="009B048C"/>
    <w:rsid w:val="009B0B92"/>
    <w:rsid w:val="009B7CC1"/>
    <w:rsid w:val="009C3FD7"/>
    <w:rsid w:val="009C6C7E"/>
    <w:rsid w:val="009D31D3"/>
    <w:rsid w:val="009E05E0"/>
    <w:rsid w:val="009E2364"/>
    <w:rsid w:val="009E5323"/>
    <w:rsid w:val="009F2A6C"/>
    <w:rsid w:val="009F6D27"/>
    <w:rsid w:val="00A062E2"/>
    <w:rsid w:val="00A2216D"/>
    <w:rsid w:val="00A265C5"/>
    <w:rsid w:val="00A3041F"/>
    <w:rsid w:val="00A329AC"/>
    <w:rsid w:val="00A35185"/>
    <w:rsid w:val="00A37E20"/>
    <w:rsid w:val="00A4456F"/>
    <w:rsid w:val="00A4727C"/>
    <w:rsid w:val="00A5322C"/>
    <w:rsid w:val="00A5484B"/>
    <w:rsid w:val="00A66398"/>
    <w:rsid w:val="00A7363E"/>
    <w:rsid w:val="00A73932"/>
    <w:rsid w:val="00A81D33"/>
    <w:rsid w:val="00A83B09"/>
    <w:rsid w:val="00AA206C"/>
    <w:rsid w:val="00AB1FDF"/>
    <w:rsid w:val="00AC4997"/>
    <w:rsid w:val="00AD339F"/>
    <w:rsid w:val="00AD53F3"/>
    <w:rsid w:val="00AF09D8"/>
    <w:rsid w:val="00AF1FC6"/>
    <w:rsid w:val="00AF620A"/>
    <w:rsid w:val="00AF7AA1"/>
    <w:rsid w:val="00B05A68"/>
    <w:rsid w:val="00B11417"/>
    <w:rsid w:val="00B15046"/>
    <w:rsid w:val="00B1774A"/>
    <w:rsid w:val="00B23966"/>
    <w:rsid w:val="00B33FD2"/>
    <w:rsid w:val="00B42B63"/>
    <w:rsid w:val="00B4747E"/>
    <w:rsid w:val="00B529D7"/>
    <w:rsid w:val="00B6020F"/>
    <w:rsid w:val="00B60663"/>
    <w:rsid w:val="00B70E72"/>
    <w:rsid w:val="00B712C6"/>
    <w:rsid w:val="00B82DB5"/>
    <w:rsid w:val="00B8316F"/>
    <w:rsid w:val="00B90DAD"/>
    <w:rsid w:val="00B925DE"/>
    <w:rsid w:val="00BA5556"/>
    <w:rsid w:val="00BB3793"/>
    <w:rsid w:val="00BC1123"/>
    <w:rsid w:val="00BC7F74"/>
    <w:rsid w:val="00BD133F"/>
    <w:rsid w:val="00BE3866"/>
    <w:rsid w:val="00C10B30"/>
    <w:rsid w:val="00C21391"/>
    <w:rsid w:val="00C21489"/>
    <w:rsid w:val="00C221AF"/>
    <w:rsid w:val="00C337A7"/>
    <w:rsid w:val="00C42709"/>
    <w:rsid w:val="00C45A21"/>
    <w:rsid w:val="00C52508"/>
    <w:rsid w:val="00C55331"/>
    <w:rsid w:val="00C5638E"/>
    <w:rsid w:val="00C56875"/>
    <w:rsid w:val="00C60B1D"/>
    <w:rsid w:val="00C62323"/>
    <w:rsid w:val="00C62594"/>
    <w:rsid w:val="00C657B6"/>
    <w:rsid w:val="00C65BB4"/>
    <w:rsid w:val="00C7022B"/>
    <w:rsid w:val="00C7027E"/>
    <w:rsid w:val="00C802B4"/>
    <w:rsid w:val="00C8325A"/>
    <w:rsid w:val="00C848A2"/>
    <w:rsid w:val="00C877F7"/>
    <w:rsid w:val="00C94D9D"/>
    <w:rsid w:val="00C95B77"/>
    <w:rsid w:val="00CA5B4B"/>
    <w:rsid w:val="00CA7DEB"/>
    <w:rsid w:val="00CB51FA"/>
    <w:rsid w:val="00CB7319"/>
    <w:rsid w:val="00CC1A4C"/>
    <w:rsid w:val="00CC4787"/>
    <w:rsid w:val="00CD627F"/>
    <w:rsid w:val="00CE6C05"/>
    <w:rsid w:val="00D104E6"/>
    <w:rsid w:val="00D219B7"/>
    <w:rsid w:val="00D31321"/>
    <w:rsid w:val="00D31647"/>
    <w:rsid w:val="00D34CE7"/>
    <w:rsid w:val="00D3633A"/>
    <w:rsid w:val="00D44C27"/>
    <w:rsid w:val="00D4665D"/>
    <w:rsid w:val="00D5539B"/>
    <w:rsid w:val="00D57E11"/>
    <w:rsid w:val="00D603C7"/>
    <w:rsid w:val="00D605A5"/>
    <w:rsid w:val="00D60D13"/>
    <w:rsid w:val="00D654D6"/>
    <w:rsid w:val="00D7205B"/>
    <w:rsid w:val="00D771AC"/>
    <w:rsid w:val="00D82C17"/>
    <w:rsid w:val="00D85D1C"/>
    <w:rsid w:val="00D87A8E"/>
    <w:rsid w:val="00D91C62"/>
    <w:rsid w:val="00D934C7"/>
    <w:rsid w:val="00D966FF"/>
    <w:rsid w:val="00DA01B4"/>
    <w:rsid w:val="00DA0264"/>
    <w:rsid w:val="00DB16BB"/>
    <w:rsid w:val="00DB375A"/>
    <w:rsid w:val="00DB3890"/>
    <w:rsid w:val="00DC114F"/>
    <w:rsid w:val="00DC3777"/>
    <w:rsid w:val="00DC4F3F"/>
    <w:rsid w:val="00DD287C"/>
    <w:rsid w:val="00DD72B3"/>
    <w:rsid w:val="00DE552A"/>
    <w:rsid w:val="00DF1E3F"/>
    <w:rsid w:val="00DF1E98"/>
    <w:rsid w:val="00E0085C"/>
    <w:rsid w:val="00E02D8F"/>
    <w:rsid w:val="00E07530"/>
    <w:rsid w:val="00E10904"/>
    <w:rsid w:val="00E130F1"/>
    <w:rsid w:val="00E178C0"/>
    <w:rsid w:val="00E22702"/>
    <w:rsid w:val="00E379AD"/>
    <w:rsid w:val="00E423DB"/>
    <w:rsid w:val="00E52175"/>
    <w:rsid w:val="00E5702B"/>
    <w:rsid w:val="00E57AC2"/>
    <w:rsid w:val="00E604C6"/>
    <w:rsid w:val="00E7081D"/>
    <w:rsid w:val="00E72CFD"/>
    <w:rsid w:val="00E8231E"/>
    <w:rsid w:val="00E830AB"/>
    <w:rsid w:val="00E8565F"/>
    <w:rsid w:val="00E85C13"/>
    <w:rsid w:val="00E91601"/>
    <w:rsid w:val="00E918FC"/>
    <w:rsid w:val="00E91C6F"/>
    <w:rsid w:val="00E953DC"/>
    <w:rsid w:val="00E97618"/>
    <w:rsid w:val="00EA1E6F"/>
    <w:rsid w:val="00EA43D1"/>
    <w:rsid w:val="00EA5058"/>
    <w:rsid w:val="00EB203C"/>
    <w:rsid w:val="00EC27E3"/>
    <w:rsid w:val="00EC2C14"/>
    <w:rsid w:val="00EC7DA5"/>
    <w:rsid w:val="00ED3229"/>
    <w:rsid w:val="00ED4202"/>
    <w:rsid w:val="00ED5111"/>
    <w:rsid w:val="00EE01C6"/>
    <w:rsid w:val="00EE13AD"/>
    <w:rsid w:val="00EE28F1"/>
    <w:rsid w:val="00EE4D7A"/>
    <w:rsid w:val="00EF3A1F"/>
    <w:rsid w:val="00EF6EBE"/>
    <w:rsid w:val="00F00579"/>
    <w:rsid w:val="00F02B55"/>
    <w:rsid w:val="00F03038"/>
    <w:rsid w:val="00F06B4B"/>
    <w:rsid w:val="00F15F40"/>
    <w:rsid w:val="00F3428C"/>
    <w:rsid w:val="00F36013"/>
    <w:rsid w:val="00F4037D"/>
    <w:rsid w:val="00F44CAA"/>
    <w:rsid w:val="00F74F02"/>
    <w:rsid w:val="00F80979"/>
    <w:rsid w:val="00F8374B"/>
    <w:rsid w:val="00F83923"/>
    <w:rsid w:val="00F8439C"/>
    <w:rsid w:val="00FA171A"/>
    <w:rsid w:val="00FA1CAA"/>
    <w:rsid w:val="00FA4529"/>
    <w:rsid w:val="00FB58CF"/>
    <w:rsid w:val="00FD45A6"/>
    <w:rsid w:val="00FD75BF"/>
    <w:rsid w:val="00FE07BC"/>
    <w:rsid w:val="00FE3E7C"/>
    <w:rsid w:val="00FE686C"/>
    <w:rsid w:val="00FF257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3FA5-D343-42EA-AD1F-95DC9601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5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hyperlink" Target="http://www.idtheftcent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5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stanów (lewa oś)</c:v>
                </c:pt>
              </c:strCache>
            </c:strRef>
          </c:tx>
          <c:invertIfNegative val="0"/>
          <c:cat>
            <c:numRef>
              <c:f>Arkusz1!$A$2:$A$14</c:f>
              <c:numCache>
                <c:formatCode>General</c:formatCode>
                <c:ptCount val="13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</c:numCache>
            </c:numRef>
          </c:cat>
          <c:val>
            <c:numRef>
              <c:f>Arkusz1!$B$2:$B$14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19</c:v>
                </c:pt>
                <c:pt idx="3">
                  <c:v>32</c:v>
                </c:pt>
                <c:pt idx="4">
                  <c:v>37</c:v>
                </c:pt>
                <c:pt idx="5">
                  <c:v>43</c:v>
                </c:pt>
                <c:pt idx="6">
                  <c:v>44</c:v>
                </c:pt>
                <c:pt idx="7">
                  <c:v>45</c:v>
                </c:pt>
                <c:pt idx="8">
                  <c:v>45</c:v>
                </c:pt>
                <c:pt idx="9">
                  <c:v>45</c:v>
                </c:pt>
                <c:pt idx="10">
                  <c:v>45</c:v>
                </c:pt>
                <c:pt idx="11">
                  <c:v>46</c:v>
                </c:pt>
                <c:pt idx="12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axId val="-1209881184"/>
        <c:axId val="-1209876832"/>
      </c:barChart>
      <c:lineChart>
        <c:grouping val="standard"/>
        <c:varyColors val="0"/>
        <c:ser>
          <c:idx val="1"/>
          <c:order val="1"/>
          <c:tx>
            <c:strRef>
              <c:f>Arkusz1!$C$1</c:f>
              <c:strCache>
                <c:ptCount val="1"/>
                <c:pt idx="0">
                  <c:v>Penetracja cyber ubezpieczeń (prawa oś)</c:v>
                </c:pt>
              </c:strCache>
            </c:strRef>
          </c:tx>
          <c:marker>
            <c:symbol val="square"/>
            <c:size val="5"/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Arkusz1!$A$2:$A$14</c:f>
              <c:numCache>
                <c:formatCode>General</c:formatCode>
                <c:ptCount val="13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</c:numCache>
            </c:numRef>
          </c:cat>
          <c:val>
            <c:numRef>
              <c:f>Arkusz1!$C$2:$C$14</c:f>
              <c:numCache>
                <c:formatCode>General</c:formatCode>
                <c:ptCount val="13"/>
                <c:pt idx="0">
                  <c:v>1.3</c:v>
                </c:pt>
                <c:pt idx="1">
                  <c:v>2</c:v>
                </c:pt>
                <c:pt idx="2">
                  <c:v>1.8</c:v>
                </c:pt>
                <c:pt idx="3">
                  <c:v>1.4</c:v>
                </c:pt>
                <c:pt idx="4">
                  <c:v>1.8</c:v>
                </c:pt>
                <c:pt idx="5">
                  <c:v>2.2000000000000002</c:v>
                </c:pt>
                <c:pt idx="6">
                  <c:v>2.8</c:v>
                </c:pt>
                <c:pt idx="7">
                  <c:v>3.2</c:v>
                </c:pt>
                <c:pt idx="8">
                  <c:v>3.8</c:v>
                </c:pt>
                <c:pt idx="9">
                  <c:v>5.4</c:v>
                </c:pt>
                <c:pt idx="10">
                  <c:v>6.6</c:v>
                </c:pt>
                <c:pt idx="11">
                  <c:v>7</c:v>
                </c:pt>
                <c:pt idx="12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09875744"/>
        <c:axId val="-1209884992"/>
      </c:lineChart>
      <c:catAx>
        <c:axId val="-120988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-1209876832"/>
        <c:crosses val="autoZero"/>
        <c:auto val="1"/>
        <c:lblAlgn val="ctr"/>
        <c:lblOffset val="100"/>
        <c:noMultiLvlLbl val="0"/>
      </c:catAx>
      <c:valAx>
        <c:axId val="-120987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-1209881184"/>
        <c:crosses val="autoZero"/>
        <c:crossBetween val="between"/>
      </c:valAx>
      <c:valAx>
        <c:axId val="-1209884992"/>
        <c:scaling>
          <c:orientation val="minMax"/>
          <c:max val="9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-1209875744"/>
        <c:crosses val="max"/>
        <c:crossBetween val="between"/>
      </c:valAx>
      <c:catAx>
        <c:axId val="-12098757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209884992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Składka</c:v>
                </c:pt>
              </c:strCache>
            </c:strRef>
          </c:tx>
          <c:marker>
            <c:symbol val="none"/>
          </c:marker>
          <c:cat>
            <c:strRef>
              <c:f>Arkusz1!$A$2:$A$16</c:f>
              <c:strCache>
                <c:ptCount val="15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2016P</c:v>
                </c:pt>
              </c:strCache>
            </c:strRef>
          </c:cat>
          <c:val>
            <c:numRef>
              <c:f>Arkusz1!$B$2:$B$16</c:f>
              <c:numCache>
                <c:formatCode>General</c:formatCode>
                <c:ptCount val="15"/>
                <c:pt idx="0">
                  <c:v>80</c:v>
                </c:pt>
                <c:pt idx="1">
                  <c:v>125</c:v>
                </c:pt>
                <c:pt idx="2">
                  <c:v>180</c:v>
                </c:pt>
                <c:pt idx="3">
                  <c:v>300</c:v>
                </c:pt>
                <c:pt idx="4">
                  <c:v>350</c:v>
                </c:pt>
                <c:pt idx="5">
                  <c:v>400</c:v>
                </c:pt>
                <c:pt idx="6">
                  <c:v>450</c:v>
                </c:pt>
                <c:pt idx="7">
                  <c:v>450</c:v>
                </c:pt>
                <c:pt idx="8">
                  <c:v>600</c:v>
                </c:pt>
                <c:pt idx="9">
                  <c:v>800</c:v>
                </c:pt>
                <c:pt idx="10">
                  <c:v>1000</c:v>
                </c:pt>
                <c:pt idx="11">
                  <c:v>1300</c:v>
                </c:pt>
                <c:pt idx="12">
                  <c:v>2000</c:v>
                </c:pt>
                <c:pt idx="13">
                  <c:v>2400</c:v>
                </c:pt>
                <c:pt idx="14">
                  <c:v>3250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09878464"/>
        <c:axId val="-1209875200"/>
      </c:lineChart>
      <c:catAx>
        <c:axId val="-120987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209875200"/>
        <c:crosses val="autoZero"/>
        <c:auto val="1"/>
        <c:lblAlgn val="ctr"/>
        <c:lblOffset val="100"/>
        <c:noMultiLvlLbl val="0"/>
      </c:catAx>
      <c:valAx>
        <c:axId val="-1209875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2098784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Arkusz1!$A$2:$A$13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Arkusz1!$B$2:$B$13</c:f>
              <c:numCache>
                <c:formatCode>General</c:formatCode>
                <c:ptCount val="12"/>
                <c:pt idx="0">
                  <c:v>157</c:v>
                </c:pt>
                <c:pt idx="1">
                  <c:v>321</c:v>
                </c:pt>
                <c:pt idx="2">
                  <c:v>446</c:v>
                </c:pt>
                <c:pt idx="3">
                  <c:v>656</c:v>
                </c:pt>
                <c:pt idx="4">
                  <c:v>498</c:v>
                </c:pt>
                <c:pt idx="5">
                  <c:v>662</c:v>
                </c:pt>
                <c:pt idx="6">
                  <c:v>421</c:v>
                </c:pt>
                <c:pt idx="7">
                  <c:v>471</c:v>
                </c:pt>
                <c:pt idx="8">
                  <c:v>614</c:v>
                </c:pt>
                <c:pt idx="9">
                  <c:v>783</c:v>
                </c:pt>
                <c:pt idx="10">
                  <c:v>781</c:v>
                </c:pt>
                <c:pt idx="11">
                  <c:v>845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-27"/>
        <c:axId val="-1239065120"/>
        <c:axId val="-1239062944"/>
      </c:barChart>
      <c:catAx>
        <c:axId val="-123906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-1239062944"/>
        <c:crosses val="autoZero"/>
        <c:auto val="1"/>
        <c:lblAlgn val="ctr"/>
        <c:lblOffset val="100"/>
        <c:noMultiLvlLbl val="0"/>
      </c:catAx>
      <c:valAx>
        <c:axId val="-123906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-1239065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Usługi finansowe</c:v>
                </c:pt>
                <c:pt idx="1">
                  <c:v>Ochrona zdrowia</c:v>
                </c:pt>
                <c:pt idx="2">
                  <c:v>Pozostałe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654</c:v>
                </c:pt>
                <c:pt idx="1">
                  <c:v>1553</c:v>
                </c:pt>
                <c:pt idx="2">
                  <c:v>3003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Usługi finansowe</c:v>
                </c:pt>
                <c:pt idx="1">
                  <c:v>Ochrona zdrowia</c:v>
                </c:pt>
                <c:pt idx="2">
                  <c:v>Pozostałe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378851644</c:v>
                </c:pt>
                <c:pt idx="1">
                  <c:v>47190682</c:v>
                </c:pt>
                <c:pt idx="2">
                  <c:v>474832916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2016-12-10T21:21:00Z</dcterms:created>
  <dcterms:modified xsi:type="dcterms:W3CDTF">2016-12-19T21:29:00Z</dcterms:modified>
</cp:coreProperties>
</file>