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09C" w:rsidRPr="00C600FD" w:rsidRDefault="0049409C" w:rsidP="0049409C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600FD">
        <w:rPr>
          <w:rFonts w:ascii="Times New Roman" w:hAnsi="Times New Roman"/>
          <w:sz w:val="24"/>
          <w:szCs w:val="24"/>
        </w:rPr>
        <w:t>Tabela 1. Klasyfikacja teorii społecznej odpowiedzialności biznesu</w:t>
      </w:r>
    </w:p>
    <w:tbl>
      <w:tblPr>
        <w:tblpPr w:leftFromText="141" w:rightFromText="141" w:vertAnchor="page" w:horzAnchor="page" w:tblpX="1843" w:tblpY="22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38"/>
        <w:gridCol w:w="4741"/>
        <w:gridCol w:w="4741"/>
      </w:tblGrid>
      <w:tr w:rsidR="0049409C" w:rsidRPr="00C600FD" w:rsidTr="00AA5580">
        <w:tc>
          <w:tcPr>
            <w:tcW w:w="1666" w:type="pct"/>
            <w:vAlign w:val="center"/>
          </w:tcPr>
          <w:p w:rsidR="0049409C" w:rsidRPr="00C600FD" w:rsidRDefault="0049409C" w:rsidP="00AA558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0FD">
              <w:rPr>
                <w:rFonts w:ascii="Times New Roman" w:hAnsi="Times New Roman"/>
                <w:b/>
                <w:sz w:val="20"/>
                <w:szCs w:val="20"/>
              </w:rPr>
              <w:t>Rodzaj teorii</w:t>
            </w:r>
          </w:p>
        </w:tc>
        <w:tc>
          <w:tcPr>
            <w:tcW w:w="1667" w:type="pct"/>
            <w:vAlign w:val="center"/>
          </w:tcPr>
          <w:p w:rsidR="0049409C" w:rsidRPr="00C600FD" w:rsidRDefault="0049409C" w:rsidP="00AA558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0FD">
              <w:rPr>
                <w:rFonts w:ascii="Times New Roman" w:hAnsi="Times New Roman"/>
                <w:b/>
                <w:sz w:val="20"/>
                <w:szCs w:val="20"/>
              </w:rPr>
              <w:t>Podejście</w:t>
            </w:r>
          </w:p>
        </w:tc>
        <w:tc>
          <w:tcPr>
            <w:tcW w:w="1667" w:type="pct"/>
            <w:vAlign w:val="center"/>
          </w:tcPr>
          <w:p w:rsidR="0049409C" w:rsidRPr="00C600FD" w:rsidRDefault="0049409C" w:rsidP="00AA558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0FD">
              <w:rPr>
                <w:rFonts w:ascii="Times New Roman" w:hAnsi="Times New Roman"/>
                <w:b/>
                <w:sz w:val="20"/>
                <w:szCs w:val="20"/>
              </w:rPr>
              <w:t>Cechy szczególne</w:t>
            </w:r>
          </w:p>
        </w:tc>
      </w:tr>
      <w:tr w:rsidR="0049409C" w:rsidRPr="00C600FD" w:rsidTr="00AA5580">
        <w:tc>
          <w:tcPr>
            <w:tcW w:w="1666" w:type="pct"/>
            <w:vMerge w:val="restart"/>
            <w:vAlign w:val="center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Teorie instrumentalne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Maksymalizacja wartości dla akcjonariuszy (udziałowców)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Maksymalizacja wartości w długim okresie</w:t>
            </w:r>
          </w:p>
        </w:tc>
      </w:tr>
      <w:tr w:rsidR="0049409C" w:rsidRPr="00C600FD" w:rsidTr="00AA5580">
        <w:trPr>
          <w:trHeight w:val="2458"/>
        </w:trPr>
        <w:tc>
          <w:tcPr>
            <w:tcW w:w="1666" w:type="pct"/>
            <w:vMerge/>
          </w:tcPr>
          <w:p w:rsidR="0049409C" w:rsidRPr="00C600FD" w:rsidRDefault="0049409C" w:rsidP="00AA558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Strategie osiągania przewag konkurencyjnych</w:t>
            </w:r>
          </w:p>
        </w:tc>
        <w:tc>
          <w:tcPr>
            <w:tcW w:w="1667" w:type="pct"/>
          </w:tcPr>
          <w:p w:rsidR="0049409C" w:rsidRPr="00C600FD" w:rsidRDefault="0049409C" w:rsidP="0049409C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Inwestycje społeczne w kontekście konkurencyjności</w:t>
            </w:r>
          </w:p>
          <w:p w:rsidR="0049409C" w:rsidRPr="00C600FD" w:rsidRDefault="0049409C" w:rsidP="0049409C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Strategie odwołujące się do środowiskowej koncepcji zasobowej oraz dynamicznych zdolności przedsiębiorstw</w:t>
            </w:r>
          </w:p>
          <w:p w:rsidR="0049409C" w:rsidRPr="00C600FD" w:rsidRDefault="0049409C" w:rsidP="0049409C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Strategie nakierowane na podstawę ekonomicznej piramidy</w:t>
            </w:r>
          </w:p>
        </w:tc>
      </w:tr>
      <w:tr w:rsidR="0049409C" w:rsidRPr="00C600FD" w:rsidTr="00AA5580">
        <w:tc>
          <w:tcPr>
            <w:tcW w:w="1666" w:type="pct"/>
            <w:vMerge/>
          </w:tcPr>
          <w:p w:rsidR="0049409C" w:rsidRPr="00C600FD" w:rsidRDefault="0049409C" w:rsidP="00AA558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Marketing społecznie zaangażowany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Działalność altruistyczna budząca społeczne uznanie jako instrument marketingu</w:t>
            </w:r>
          </w:p>
        </w:tc>
      </w:tr>
      <w:tr w:rsidR="0049409C" w:rsidRPr="00C600FD" w:rsidTr="00AA5580">
        <w:tc>
          <w:tcPr>
            <w:tcW w:w="1666" w:type="pct"/>
            <w:vMerge w:val="restart"/>
            <w:vAlign w:val="center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Teorie polityczne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Konstytucjonalizm korporacyjny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Społeczna odpowiedzialność biznesu wynika z wielkości władzy społecznej będącej w jego posiadaniu</w:t>
            </w:r>
          </w:p>
        </w:tc>
      </w:tr>
      <w:tr w:rsidR="0049409C" w:rsidRPr="00C600FD" w:rsidTr="00AA5580">
        <w:tc>
          <w:tcPr>
            <w:tcW w:w="1666" w:type="pct"/>
            <w:vMerge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Integracyjna teoria umowy społecznej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Założenie o istnieniu umowy społecznej między biznesem a społeczeństwem</w:t>
            </w:r>
          </w:p>
        </w:tc>
      </w:tr>
      <w:tr w:rsidR="0049409C" w:rsidRPr="00C600FD" w:rsidTr="00AA5580">
        <w:tc>
          <w:tcPr>
            <w:tcW w:w="1666" w:type="pct"/>
            <w:vMerge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Obywatelstwo korporacyjne (lub biznesu)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Przedsiębiorstwo jako specyficznie pojmowany obywatel zaangażowany (uwikłany) w określone sprawy społeczności</w:t>
            </w:r>
          </w:p>
        </w:tc>
      </w:tr>
      <w:tr w:rsidR="0049409C" w:rsidRPr="00C600FD" w:rsidTr="00AA5580">
        <w:tc>
          <w:tcPr>
            <w:tcW w:w="1666" w:type="pct"/>
            <w:vMerge w:val="restart"/>
            <w:vAlign w:val="center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Teorie integracyjne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Zarządzanie problemami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Podejście procesowe w kwestii reagowania korporacji na czynniki społeczne i polityczne, które w znaczący sposób mogą wpływać na jej sytuację</w:t>
            </w:r>
          </w:p>
        </w:tc>
      </w:tr>
      <w:tr w:rsidR="0049409C" w:rsidRPr="00C600FD" w:rsidTr="00AA5580">
        <w:tc>
          <w:tcPr>
            <w:tcW w:w="1666" w:type="pct"/>
            <w:vMerge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Odpowiedzialność publiczna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Prawo i dotychczasowy proces zarządzania publicznego stanowią odniesienie dla społecznej efektywności</w:t>
            </w:r>
          </w:p>
        </w:tc>
      </w:tr>
      <w:tr w:rsidR="0049409C" w:rsidRPr="00C600FD" w:rsidTr="00AA5580">
        <w:tc>
          <w:tcPr>
            <w:tcW w:w="1666" w:type="pct"/>
            <w:vMerge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Zarządzanie interesariuszami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Równoważenie interesów poszczególnych interesariuszy przedsiębiorstwa</w:t>
            </w:r>
          </w:p>
        </w:tc>
      </w:tr>
      <w:tr w:rsidR="0049409C" w:rsidRPr="00C600FD" w:rsidTr="00AA5580">
        <w:tc>
          <w:tcPr>
            <w:tcW w:w="1666" w:type="pct"/>
            <w:vMerge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Społeczna efektywność korporacji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Poszukiwanie społecznego uzasadnienia i sposobów postępowania w celu znalezienia adekwatnych odpowiedzi w odniesieniu do kwestii społecznych</w:t>
            </w:r>
          </w:p>
        </w:tc>
      </w:tr>
      <w:tr w:rsidR="0049409C" w:rsidRPr="00C600FD" w:rsidTr="00AA5580">
        <w:tc>
          <w:tcPr>
            <w:tcW w:w="1666" w:type="pct"/>
            <w:vMerge w:val="restart"/>
            <w:vAlign w:val="center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Teorie etyczne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Normatywna teoria interesariuszy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Rozważania dotyczące obowiązków powiernictwa w stosunku do interesariuszy przedsiębiorstwa oparte na teoriach moralnych (np. kantowskiej, utylitarystycznej)</w:t>
            </w:r>
          </w:p>
        </w:tc>
      </w:tr>
      <w:tr w:rsidR="0049409C" w:rsidRPr="00C600FD" w:rsidTr="00AA5580">
        <w:tc>
          <w:tcPr>
            <w:tcW w:w="1666" w:type="pct"/>
            <w:vMerge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Prawa uniwersalne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Ramy rozważań określone przez prawa człowieka, prawa pracownicze oraz wymóg poszanowania środowiska naturalnego</w:t>
            </w:r>
          </w:p>
        </w:tc>
      </w:tr>
      <w:tr w:rsidR="0049409C" w:rsidRPr="00C600FD" w:rsidTr="00AA5580">
        <w:tc>
          <w:tcPr>
            <w:tcW w:w="1666" w:type="pct"/>
            <w:vMerge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Rozwój zrównoważony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Rozwój społeczny uwzględniający sytuację obecnych i przyszłych generacji</w:t>
            </w:r>
          </w:p>
        </w:tc>
      </w:tr>
      <w:tr w:rsidR="0049409C" w:rsidRPr="00C600FD" w:rsidTr="00AA5580">
        <w:tc>
          <w:tcPr>
            <w:tcW w:w="1666" w:type="pct"/>
            <w:vMerge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Dobro wspólne</w:t>
            </w:r>
          </w:p>
        </w:tc>
        <w:tc>
          <w:tcPr>
            <w:tcW w:w="1667" w:type="pct"/>
          </w:tcPr>
          <w:p w:rsidR="0049409C" w:rsidRPr="00C600FD" w:rsidRDefault="0049409C" w:rsidP="00AA558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0FD">
              <w:rPr>
                <w:rFonts w:ascii="Times New Roman" w:hAnsi="Times New Roman"/>
                <w:sz w:val="20"/>
                <w:szCs w:val="20"/>
              </w:rPr>
              <w:t>Orientacja na osiąganie wartości zbiorowych przynoszących korzyści dla całego społeczeństwa</w:t>
            </w:r>
          </w:p>
        </w:tc>
      </w:tr>
    </w:tbl>
    <w:p w:rsidR="0049409C" w:rsidRPr="00C600FD" w:rsidRDefault="0049409C" w:rsidP="004940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F5175" w:rsidRPr="0049409C" w:rsidRDefault="0049409C" w:rsidP="0049409C">
      <w:pPr>
        <w:pStyle w:val="Nagwek1"/>
        <w:shd w:val="clear" w:color="auto" w:fill="FFFFFF"/>
        <w:rPr>
          <w:b w:val="0"/>
          <w:bCs w:val="0"/>
          <w:sz w:val="20"/>
          <w:szCs w:val="20"/>
        </w:rPr>
      </w:pPr>
      <w:r w:rsidRPr="00C600FD">
        <w:rPr>
          <w:b w:val="0"/>
          <w:sz w:val="20"/>
          <w:szCs w:val="20"/>
        </w:rPr>
        <w:t xml:space="preserve">Źródło: </w:t>
      </w:r>
      <w:proofErr w:type="spellStart"/>
      <w:r w:rsidRPr="00C600FD">
        <w:rPr>
          <w:b w:val="0"/>
          <w:sz w:val="20"/>
          <w:szCs w:val="20"/>
        </w:rPr>
        <w:t>Garriga</w:t>
      </w:r>
      <w:proofErr w:type="spellEnd"/>
      <w:r w:rsidRPr="00C600FD">
        <w:rPr>
          <w:b w:val="0"/>
          <w:sz w:val="20"/>
          <w:szCs w:val="20"/>
        </w:rPr>
        <w:t xml:space="preserve"> i </w:t>
      </w:r>
      <w:proofErr w:type="spellStart"/>
      <w:r w:rsidRPr="00C600FD">
        <w:rPr>
          <w:b w:val="0"/>
          <w:sz w:val="20"/>
          <w:szCs w:val="20"/>
        </w:rPr>
        <w:t>Melé</w:t>
      </w:r>
      <w:proofErr w:type="spellEnd"/>
      <w:r w:rsidRPr="00C600FD">
        <w:rPr>
          <w:b w:val="0"/>
          <w:bCs w:val="0"/>
          <w:sz w:val="20"/>
          <w:szCs w:val="20"/>
        </w:rPr>
        <w:t xml:space="preserve"> [2004, </w:t>
      </w:r>
      <w:r w:rsidRPr="00C600FD">
        <w:rPr>
          <w:b w:val="0"/>
          <w:sz w:val="20"/>
          <w:szCs w:val="20"/>
        </w:rPr>
        <w:t>s. 63 i 64].</w:t>
      </w:r>
    </w:p>
    <w:sectPr w:rsidR="005F5175" w:rsidRPr="0049409C" w:rsidSect="004940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164EB"/>
    <w:multiLevelType w:val="hybridMultilevel"/>
    <w:tmpl w:val="D1E24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9409C"/>
    <w:rsid w:val="0049409C"/>
    <w:rsid w:val="005F5175"/>
    <w:rsid w:val="00801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409C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9"/>
    <w:qFormat/>
    <w:rsid w:val="004940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9409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99"/>
    <w:qFormat/>
    <w:rsid w:val="0049409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kowalskir</dc:creator>
  <cp:keywords/>
  <dc:description/>
  <cp:lastModifiedBy>kowalskir</cp:lastModifiedBy>
  <cp:revision>1</cp:revision>
  <dcterms:created xsi:type="dcterms:W3CDTF">2016-06-05T16:47:00Z</dcterms:created>
  <dcterms:modified xsi:type="dcterms:W3CDTF">2016-06-05T16:49:00Z</dcterms:modified>
</cp:coreProperties>
</file>